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rPr>
        <w:drawing>
          <wp:inline distB="0" distT="0" distL="0" distR="0">
            <wp:extent cx="6119820" cy="1676400"/>
            <wp:effectExtent b="0" l="0" r="0" t="0"/>
            <wp:docPr id="1027" name="image1.png"/>
            <a:graphic>
              <a:graphicData uri="http://schemas.openxmlformats.org/drawingml/2006/picture">
                <pic:pic>
                  <pic:nvPicPr>
                    <pic:cNvPr id="0" name="image1.png"/>
                    <pic:cNvPicPr preferRelativeResize="0"/>
                  </pic:nvPicPr>
                  <pic:blipFill>
                    <a:blip r:embed="rId7"/>
                    <a:srcRect b="27307" l="2218" r="1531" t="26026"/>
                    <a:stretch>
                      <a:fillRect/>
                    </a:stretch>
                  </pic:blipFill>
                  <pic:spPr>
                    <a:xfrm>
                      <a:off x="0" y="0"/>
                      <a:ext cx="6119820" cy="1676400"/>
                    </a:xfrm>
                    <a:prstGeom prst="rect"/>
                    <a:ln/>
                  </pic:spPr>
                </pic:pic>
              </a:graphicData>
            </a:graphic>
          </wp:inline>
        </w:drawing>
      </w:r>
      <w:bookmarkStart w:colFirst="0" w:colLast="0" w:name="bookmark=id.5iutejrjcif8" w:id="0"/>
      <w:bookmarkEnd w:id="0"/>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1"/>
          <w:bCs w:val="1"/>
          <w:i w:val="0"/>
          <w:iCs w:val="0"/>
          <w:smallCaps w:val="0"/>
          <w:strike w:val="0"/>
          <w:color w:val="000000"/>
          <w:sz w:val="36"/>
          <w:szCs w:val="36"/>
          <w:highlight w:val="white"/>
          <w:u w:val="none"/>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bCs w:val="1"/>
          <w:i w:val="0"/>
          <w:iCs w:val="0"/>
          <w:smallCaps w:val="0"/>
          <w:strike w:val="0"/>
          <w:color w:val="000000"/>
          <w:sz w:val="36"/>
          <w:szCs w:val="36"/>
          <w:highlight w:val="white"/>
          <w:u w:val="none"/>
          <w:vertAlign w:val="baseline"/>
          <w:rtl w:val="0"/>
        </w:rPr>
        <w:t xml:space="preserve">Protocollo per l’inclusione e la valorizzazione degli alunni ad alto potenziale cognitivo </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bCs w:val="0"/>
          <w:i w:val="1"/>
          <w:iCs w:val="1"/>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1"/>
          <w:iCs w:val="1"/>
          <w:smallCaps w:val="0"/>
          <w:strike w:val="0"/>
          <w:color w:val="000000"/>
          <w:sz w:val="20"/>
          <w:szCs w:val="20"/>
          <w:highlight w:val="white"/>
          <w:u w:val="none"/>
          <w:vertAlign w:val="baseline"/>
          <w:rtl w:val="0"/>
        </w:rPr>
        <w:t xml:space="preserve">Il presente documento si rifà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1"/>
          <w:iCs w:val="1"/>
          <w:smallCaps w:val="0"/>
          <w:strike w:val="0"/>
          <w:color w:val="000000"/>
          <w:sz w:val="20"/>
          <w:szCs w:val="20"/>
          <w:highlight w:val="white"/>
          <w:u w:val="none"/>
          <w:vertAlign w:val="baseline"/>
          <w:rtl w:val="0"/>
        </w:rPr>
        <w:t xml:space="preserve">alla </w:t>
      </w:r>
      <w:r w:rsidDel="00000000" w:rsidR="00000000" w:rsidRPr="00000000">
        <w:rPr>
          <w:b w:val="1"/>
          <w:bCs w:val="1"/>
          <w:i w:val="1"/>
          <w:iCs w:val="1"/>
          <w:smallCaps w:val="0"/>
          <w:strike w:val="0"/>
          <w:color w:val="000000"/>
          <w:sz w:val="20"/>
          <w:szCs w:val="20"/>
          <w:highlight w:val="white"/>
          <w:u w:val="none"/>
          <w:vertAlign w:val="baseline"/>
          <w:rtl w:val="0"/>
        </w:rPr>
        <w:t xml:space="preserve">Nota MIUR prot. n. 562 del 3 aprile 2019</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1"/>
          <w:iCs w:val="1"/>
          <w:smallCaps w:val="0"/>
          <w:strike w:val="0"/>
          <w:color w:val="000000"/>
          <w:sz w:val="22"/>
          <w:szCs w:val="22"/>
          <w:u w:val="none"/>
          <w:shd w:fill="auto" w:val="clear"/>
          <w:vertAlign w:val="baseline"/>
        </w:rPr>
      </w:pPr>
      <w:r w:rsidDel="00000000" w:rsidR="00000000" w:rsidRPr="00000000">
        <w:rPr>
          <w:rFonts w:ascii="Liberation Serif" w:cs="Liberation Serif" w:eastAsia="Liberation Serif" w:hAnsi="Liberation Serif"/>
          <w:b w:val="0"/>
          <w:bCs w:val="0"/>
          <w:i w:val="1"/>
          <w:iCs w:val="1"/>
          <w:smallCaps w:val="0"/>
          <w:strike w:val="0"/>
          <w:color w:val="000000"/>
          <w:sz w:val="20"/>
          <w:szCs w:val="20"/>
          <w:highlight w:val="white"/>
          <w:u w:val="none"/>
          <w:vertAlign w:val="baseline"/>
          <w:rtl w:val="0"/>
        </w:rPr>
        <w:t xml:space="preserve">alle </w:t>
      </w:r>
      <w:r w:rsidDel="00000000" w:rsidR="00000000" w:rsidRPr="00000000">
        <w:rPr>
          <w:b w:val="1"/>
          <w:bCs w:val="1"/>
          <w:i w:val="1"/>
          <w:iCs w:val="1"/>
          <w:smallCaps w:val="0"/>
          <w:strike w:val="0"/>
          <w:color w:val="000000"/>
          <w:sz w:val="20"/>
          <w:szCs w:val="20"/>
          <w:highlight w:val="white"/>
          <w:u w:val="none"/>
          <w:vertAlign w:val="baseline"/>
          <w:rtl w:val="0"/>
        </w:rPr>
        <w:t xml:space="preserve">Linee Guida Della Regione Veneto per i Gigfted Children </w:t>
      </w:r>
      <w:hyperlink r:id="rId8">
        <w:r w:rsidDel="00000000" w:rsidR="00000000" w:rsidRPr="00000000">
          <w:rPr>
            <w:rFonts w:ascii="Calibri" w:cs="Calibri" w:eastAsia="Calibri" w:hAnsi="Calibri"/>
            <w:b w:val="0"/>
            <w:bCs w:val="0"/>
            <w:i w:val="1"/>
            <w:iCs w:val="1"/>
            <w:smallCaps w:val="0"/>
            <w:strike w:val="0"/>
            <w:color w:val="1155cc"/>
            <w:sz w:val="22"/>
            <w:szCs w:val="22"/>
            <w:u w:val="single"/>
            <w:shd w:fill="auto" w:val="clear"/>
            <w:vertAlign w:val="baseline"/>
            <w:rtl w:val="0"/>
          </w:rPr>
          <w:t xml:space="preserve">https://old.istruzioneveneto.gov.it/wpusr/archives/tag/gifted</w:t>
        </w:r>
      </w:hyperlink>
      <w:r w:rsidDel="00000000" w:rsidR="00000000" w:rsidRPr="00000000">
        <w:rPr>
          <w:rFonts w:ascii="Calibri" w:cs="Calibri" w:eastAsia="Calibri" w:hAnsi="Calibri"/>
          <w:b w:val="0"/>
          <w:bCs w:val="0"/>
          <w:i w:val="1"/>
          <w:iCs w:val="1"/>
          <w:smallCaps w:val="0"/>
          <w:strike w:val="0"/>
          <w:color w:val="0000ff"/>
          <w:sz w:val="22"/>
          <w:szCs w:val="22"/>
          <w:u w:val="none"/>
          <w:shd w:fill="auto" w:val="clear"/>
          <w:vertAlign w:val="baseline"/>
          <w:rtl w:val="0"/>
        </w:rPr>
        <w:t xml:space="preserve"> </w:t>
      </w:r>
      <w:hyperlink r:id="rId9">
        <w:r w:rsidDel="00000000" w:rsidR="00000000" w:rsidRPr="00000000">
          <w:rPr>
            <w:rFonts w:ascii="Calibri" w:cs="Calibri" w:eastAsia="Calibri" w:hAnsi="Calibri"/>
            <w:b w:val="0"/>
            <w:bCs w:val="0"/>
            <w:i w:val="1"/>
            <w:iCs w:val="1"/>
            <w:smallCaps w:val="0"/>
            <w:strike w:val="0"/>
            <w:color w:val="1155cc"/>
            <w:sz w:val="22"/>
            <w:szCs w:val="22"/>
            <w:u w:val="single"/>
            <w:shd w:fill="auto" w:val="clear"/>
            <w:vertAlign w:val="baseline"/>
            <w:rtl w:val="0"/>
          </w:rPr>
          <w:t xml:space="preserve">https://www.giftedness.life/index.php/2024/06/23/manuale-operativo-regione-veneto/</w:t>
        </w:r>
      </w:hyperlink>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e alle ricerche de </w:t>
      </w:r>
      <w:r w:rsidDel="00000000" w:rsidR="00000000" w:rsidRPr="00000000">
        <w:rPr>
          <w:rFonts w:ascii="Calibri" w:cs="Calibri" w:eastAsia="Calibri" w:hAnsi="Calibri"/>
          <w:b w:val="1"/>
          <w:bCs w:val="1"/>
          <w:i w:val="1"/>
          <w:iCs w:val="1"/>
          <w:smallCaps w:val="0"/>
          <w:strike w:val="0"/>
          <w:color w:val="666666"/>
          <w:sz w:val="23"/>
          <w:szCs w:val="23"/>
          <w:highlight w:val="white"/>
          <w:u w:val="none"/>
          <w:vertAlign w:val="baseline"/>
          <w:rtl w:val="0"/>
        </w:rPr>
        <w:t xml:space="preserve">Il Laboratorio Italiano di Ricerca e Sviluppo del Potenziale, Talento e Plusdotazione Pavia </w:t>
      </w: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bCs w:val="1"/>
          <w:i w:val="1"/>
          <w:iCs w:val="1"/>
          <w:smallCaps w:val="0"/>
          <w:strike w:val="0"/>
          <w:color w:val="0000ff"/>
          <w:sz w:val="22"/>
          <w:szCs w:val="22"/>
          <w:u w:val="single"/>
          <w:shd w:fill="auto" w:val="clear"/>
          <w:vertAlign w:val="baseline"/>
          <w:rtl w:val="0"/>
        </w:rPr>
        <w:t xml:space="preserve"> </w:t>
      </w:r>
      <w:r w:rsidDel="00000000" w:rsidR="00000000" w:rsidRPr="00000000">
        <w:rPr>
          <w:rFonts w:ascii="Calibri" w:cs="Calibri" w:eastAsia="Calibri" w:hAnsi="Calibri"/>
          <w:b w:val="0"/>
          <w:bCs w:val="0"/>
          <w:i w:val="1"/>
          <w:iCs w:val="1"/>
          <w:smallCaps w:val="0"/>
          <w:strike w:val="0"/>
          <w:color w:val="0000ff"/>
          <w:sz w:val="22"/>
          <w:szCs w:val="22"/>
          <w:u w:val="single"/>
          <w:shd w:fill="auto" w:val="clear"/>
          <w:vertAlign w:val="baseline"/>
          <w:rtl w:val="0"/>
        </w:rPr>
        <w:t xml:space="preserve">https://labtalento.unipv.it/</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1"/>
          <w:iCs w:val="1"/>
          <w:smallCaps w:val="0"/>
          <w:strike w:val="0"/>
          <w:color w:val="0000ff"/>
          <w:sz w:val="22"/>
          <w:szCs w:val="22"/>
          <w:u w:val="singl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bCs w:val="1"/>
          <w:i w:val="1"/>
          <w:iCs w:val="1"/>
          <w:smallCaps w:val="0"/>
          <w:strike w:val="0"/>
          <w:color w:val="000000"/>
          <w:sz w:val="24"/>
          <w:szCs w:val="24"/>
          <w:highlight w:val="white"/>
          <w:u w:val="none"/>
          <w:vertAlign w:val="baseline"/>
          <w:rtl w:val="0"/>
        </w:rPr>
        <w:t xml:space="preserve">(Delibera del Collegio docenti n. 42 del giorno 18 </w:t>
      </w:r>
      <w:r w:rsidDel="00000000" w:rsidR="00000000" w:rsidRPr="00000000">
        <w:rPr>
          <w:b w:val="1"/>
          <w:bCs w:val="1"/>
          <w:i w:val="1"/>
          <w:iCs w:val="1"/>
          <w:highlight w:val="white"/>
          <w:rtl w:val="0"/>
        </w:rPr>
        <w:t xml:space="preserve">Maggio 2026</w:t>
      </w:r>
      <w:r w:rsidDel="00000000" w:rsidR="00000000" w:rsidRPr="00000000">
        <w:rPr>
          <w:rFonts w:ascii="Liberation Serif" w:cs="Liberation Serif" w:eastAsia="Liberation Serif" w:hAnsi="Liberation Serif"/>
          <w:b w:val="1"/>
          <w:bCs w:val="1"/>
          <w:i w:val="1"/>
          <w:iCs w:val="1"/>
          <w:smallCaps w:val="0"/>
          <w:strike w:val="0"/>
          <w:color w:val="000000"/>
          <w:sz w:val="24"/>
          <w:szCs w:val="24"/>
          <w:highlight w:val="white"/>
          <w:u w:val="none"/>
          <w:vertAlign w:val="baseline"/>
          <w:rtl w:val="0"/>
        </w:rPr>
        <w:t xml:space="preserve">)</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iberation Serif" w:cs="Liberation Serif" w:eastAsia="Liberation Serif" w:hAnsi="Liberation Serif"/>
          <w:b w:val="1"/>
          <w:bCs w:val="1"/>
          <w:i w:val="1"/>
          <w:iCs w:val="1"/>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bCs w:val="1"/>
          <w:i w:val="1"/>
          <w:iCs w:val="1"/>
          <w:smallCaps w:val="0"/>
          <w:strike w:val="0"/>
          <w:color w:val="000000"/>
          <w:sz w:val="24"/>
          <w:szCs w:val="24"/>
          <w:highlight w:val="white"/>
          <w:u w:val="none"/>
          <w:vertAlign w:val="baseline"/>
          <w:rtl w:val="0"/>
        </w:rPr>
        <w:t xml:space="preserve">(Delibera del Consiglio di istituto n. </w:t>
      </w:r>
      <w:r w:rsidDel="00000000" w:rsidR="00000000" w:rsidRPr="00000000">
        <w:rPr>
          <w:b w:val="1"/>
          <w:bCs w:val="1"/>
          <w:i w:val="1"/>
          <w:iCs w:val="1"/>
          <w:highlight w:val="white"/>
          <w:rtl w:val="0"/>
        </w:rPr>
        <w:t xml:space="preserve">35</w:t>
      </w:r>
      <w:r w:rsidDel="00000000" w:rsidR="00000000" w:rsidRPr="00000000">
        <w:rPr>
          <w:rFonts w:ascii="Liberation Serif" w:cs="Liberation Serif" w:eastAsia="Liberation Serif" w:hAnsi="Liberation Serif"/>
          <w:b w:val="1"/>
          <w:bCs w:val="1"/>
          <w:i w:val="1"/>
          <w:iCs w:val="1"/>
          <w:smallCaps w:val="0"/>
          <w:strike w:val="0"/>
          <w:color w:val="000000"/>
          <w:sz w:val="24"/>
          <w:szCs w:val="24"/>
          <w:highlight w:val="white"/>
          <w:u w:val="none"/>
          <w:vertAlign w:val="baseline"/>
          <w:rtl w:val="0"/>
        </w:rPr>
        <w:t xml:space="preserve"> del giorno 11 Giugno 2026</w:t>
      </w:r>
      <w:r w:rsidDel="00000000" w:rsidR="00000000" w:rsidRPr="00000000">
        <w:rPr>
          <w:rFonts w:ascii="Liberation Serif" w:cs="Liberation Serif" w:eastAsia="Liberation Serif" w:hAnsi="Liberation Serif"/>
          <w:b w:val="0"/>
          <w:bCs w:val="0"/>
          <w:i w:val="1"/>
          <w:iCs w:val="1"/>
          <w:smallCaps w:val="0"/>
          <w:strike w:val="0"/>
          <w:color w:val="000000"/>
          <w:sz w:val="24"/>
          <w:szCs w:val="24"/>
          <w:highlight w:val="white"/>
          <w:u w:val="none"/>
          <w:vertAlign w:val="baseline"/>
          <w:rtl w:val="0"/>
        </w:rPr>
        <w:t xml:space="preserve">)</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bCs w:val="1"/>
          <w:i w:val="0"/>
          <w:iCs w:val="0"/>
          <w:smallCaps w:val="0"/>
          <w:strike w:val="0"/>
          <w:color w:val="000000"/>
          <w:sz w:val="32"/>
          <w:szCs w:val="32"/>
          <w:highlight w:val="white"/>
          <w:u w:val="none"/>
          <w:vertAlign w:val="baseline"/>
          <w:rtl w:val="0"/>
        </w:rPr>
        <w:t xml:space="preserve">Premessa</w:t>
      </w:r>
      <w:r w:rsidDel="00000000" w:rsidR="00000000" w:rsidRPr="00000000">
        <w:rPr>
          <w:rtl w:val="0"/>
        </w:rPr>
      </w:r>
    </w:p>
    <w:p w:rsidR="00000000" w:rsidDel="00000000" w:rsidP="00000000" w:rsidRDefault="00000000" w:rsidRPr="00000000" w14:paraId="00000010">
      <w:pPr>
        <w:keepNext w:val="1"/>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0"/>
        </w:tabs>
        <w:spacing w:after="120" w:before="14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L’adozione di un protocollo dedicato agli alunni ad alto potenziale cognitivo rappresenta una scelta strategica fondamentale per il sistema scolastico. Questi studenti, spesso trascurati, fraintesi o erroneamente etichettati, costituiscono una risorsa preziosa che necessita di un ambiente educativo adeguato per poter prosperare. Un intervento mirato e consapevole è cruciale non solo per valorizzare i loro talenti, ma anche per prevenire i rischi concreti a cui sono esposti, quali il disadattamento, il sottorendimento cronico e, nei casi più gravi, l'abbandono scolastico.</w:t>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280" w:before="28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L'alto potenziale intellettivo, infatti, non garantisce automaticamente il successo scolastico o il benessere personale. Molti studenti plusdotati incontrano significative difficoltà di adattamento nel contesto scolastico tradizionale, che può risultare poco stimolante o inadeguato ai loro ritmi di apprendimento. Spesso, l'attenzione del corpo docente viene attratta non dalle loro straordinarie capacità, ma da comportamenti ritenuti problematici. Tali comportamenti, che possono portare a diagnosi errate di ADHD, DSA o altri disturbi, sono frequentemente l'unico segnale visibile del profondo disagio e della frustrazione che lo studente sta vivendo.</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280" w:before="28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Per affrontare efficacemente questa sfida, è indispensabile partire da una definizione chiara e condivisa del costrutto di plusdotazione, superando stereotipi e semplificazioni.</w:t>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280" w:before="28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280" w:before="28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bCs w:val="1"/>
          <w:i w:val="0"/>
          <w:iCs w:val="0"/>
          <w:smallCaps w:val="0"/>
          <w:strike w:val="0"/>
          <w:color w:val="000000"/>
          <w:sz w:val="32"/>
          <w:szCs w:val="32"/>
          <w:highlight w:val="white"/>
          <w:u w:val="none"/>
          <w:vertAlign w:val="baseline"/>
          <w:rtl w:val="0"/>
        </w:rPr>
        <w:t xml:space="preserve">Definire la Plusdotazione: Oltre il Quoziente Intellettivo</w:t>
      </w: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280" w:before="28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Il concetto di plusdotazione è un "termine ombrello" complesso e multidimensionale, la cui comprensione va ben oltre la semplice misurazione del Quoziente Intellettivo (QI). Comprendere a fondo questo costrutto è il primo passo fondamentale per poter avviare un percorso efficace di identificazione, intervento e valorizzazione.</w:t>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280" w:before="28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La plusdotazione può essere definita attraverso un approccio integrato che considera molteplici fattori. I punti chiave per una definizione operativa sono:</w:t>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707"/>
          <w:tab w:val="left" w:leader="none" w:pos="911"/>
        </w:tabs>
        <w:spacing w:after="0" w:before="280" w:line="240" w:lineRule="auto"/>
        <w:ind w:left="911" w:right="0" w:hanging="283"/>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-Definizione concettuale: </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Un insieme di caratteristiche genetiche, psicologiche e comportamentali che contraddistinguono gli studenti ad alto potenziale cognitivo (</w:t>
      </w:r>
      <w:r w:rsidDel="00000000" w:rsidR="00000000" w:rsidRPr="00000000">
        <w:rPr>
          <w:rFonts w:ascii="Liberation Serif" w:cs="Liberation Serif" w:eastAsia="Liberation Serif" w:hAnsi="Liberation Serif"/>
          <w:b w:val="0"/>
          <w:bCs w:val="0"/>
          <w:i w:val="1"/>
          <w:iCs w:val="1"/>
          <w:smallCaps w:val="0"/>
          <w:strike w:val="0"/>
          <w:color w:val="000000"/>
          <w:sz w:val="24"/>
          <w:szCs w:val="24"/>
          <w:highlight w:val="white"/>
          <w:u w:val="none"/>
          <w:vertAlign w:val="baseline"/>
          <w:rtl w:val="0"/>
        </w:rPr>
        <w:t xml:space="preserve">gifted</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w:t>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707"/>
          <w:tab w:val="left" w:leader="none" w:pos="911"/>
        </w:tabs>
        <w:spacing w:after="0" w:before="0" w:line="240" w:lineRule="auto"/>
        <w:ind w:left="911" w:right="0" w:hanging="283"/>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-Prevalenza stimata: </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Si stima che questi alunni rappresentino una quota tra il 2% e il 5% della popolazione scolastica, corrispondente a circa uno studente per classe.</w:t>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707"/>
          <w:tab w:val="left" w:leader="none" w:pos="911"/>
        </w:tabs>
        <w:spacing w:after="0" w:before="0" w:line="240" w:lineRule="auto"/>
        <w:ind w:left="911" w:right="0" w:hanging="283"/>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-Aree di eccellenza: </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Secondo la </w:t>
      </w:r>
      <w:r w:rsidDel="00000000" w:rsidR="00000000" w:rsidRPr="00000000">
        <w:rPr>
          <w:rFonts w:ascii="Liberation Serif" w:cs="Liberation Serif" w:eastAsia="Liberation Serif" w:hAnsi="Liberation Serif"/>
          <w:b w:val="0"/>
          <w:bCs w:val="0"/>
          <w:i w:val="1"/>
          <w:iCs w:val="1"/>
          <w:smallCaps w:val="0"/>
          <w:strike w:val="0"/>
          <w:color w:val="000000"/>
          <w:sz w:val="24"/>
          <w:szCs w:val="24"/>
          <w:highlight w:val="white"/>
          <w:u w:val="none"/>
          <w:vertAlign w:val="baseline"/>
          <w:rtl w:val="0"/>
        </w:rPr>
        <w:t xml:space="preserve">National Association for Gifted Children</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la plusdotazione può manifestarsi in una o più delle seguenti aree:</w:t>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1414"/>
          <w:tab w:val="left" w:leader="none" w:pos="1822"/>
        </w:tabs>
        <w:spacing w:after="0" w:before="0" w:line="240" w:lineRule="auto"/>
        <w:ind w:left="1539"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Abilità intellettiva generale</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1414"/>
          <w:tab w:val="left" w:leader="none" w:pos="1822"/>
        </w:tabs>
        <w:spacing w:after="0" w:before="0" w:line="240" w:lineRule="auto"/>
        <w:ind w:left="1539"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Attitudine scolastica specifica</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1414"/>
          <w:tab w:val="left" w:leader="none" w:pos="1822"/>
        </w:tabs>
        <w:spacing w:after="0" w:before="0" w:line="240" w:lineRule="auto"/>
        <w:ind w:left="1539"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Pensiero creativo</w:t>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1414"/>
          <w:tab w:val="left" w:leader="none" w:pos="1822"/>
        </w:tabs>
        <w:spacing w:after="0" w:before="0" w:line="240" w:lineRule="auto"/>
        <w:ind w:left="1539"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Leadership</w:t>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1414"/>
          <w:tab w:val="left" w:leader="none" w:pos="1822"/>
        </w:tabs>
        <w:spacing w:after="280" w:before="0" w:line="240" w:lineRule="auto"/>
        <w:ind w:left="1539"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Arti visive e dello spettacolo</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60"/>
          <w:tab w:val="left" w:leader="none" w:pos="456"/>
        </w:tabs>
        <w:spacing w:after="280" w:before="28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Sebbene il Quoziente Intellettivo (QI) non sia l'unico indicatore, il suo utilizzo è ancora prevalente. In Italia, si tende a utilizzare la seguente distinzione basata sul punteggio psicometrico:</w:t>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707"/>
          <w:tab w:val="left" w:leader="none" w:pos="911"/>
        </w:tabs>
        <w:spacing w:after="0" w:before="280" w:line="240" w:lineRule="auto"/>
        <w:ind w:left="628"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 Alto potenziale cognitivo (High potential): </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QI pari o superiore a </w:t>
      </w: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120</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707"/>
          <w:tab w:val="left" w:leader="none" w:pos="911"/>
        </w:tabs>
        <w:spacing w:after="280" w:before="0" w:line="240" w:lineRule="auto"/>
        <w:ind w:left="628"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 Plusdotazione (Giftedness): </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QI pari o superiore a </w:t>
      </w: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130</w:t>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280" w:before="28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È cruciale sottolineare che il QI è solo </w:t>
      </w:r>
      <w:r w:rsidDel="00000000" w:rsidR="00000000" w:rsidRPr="00000000">
        <w:rPr>
          <w:rFonts w:ascii="Liberation Serif" w:cs="Liberation Serif" w:eastAsia="Liberation Serif" w:hAnsi="Liberation Serif"/>
          <w:b w:val="0"/>
          <w:bCs w:val="0"/>
          <w:i w:val="1"/>
          <w:iCs w:val="1"/>
          <w:smallCaps w:val="0"/>
          <w:strike w:val="0"/>
          <w:color w:val="000000"/>
          <w:sz w:val="24"/>
          <w:szCs w:val="24"/>
          <w:highlight w:val="white"/>
          <w:u w:val="none"/>
          <w:vertAlign w:val="baseline"/>
          <w:rtl w:val="0"/>
        </w:rPr>
        <w:t xml:space="preserve">uno d</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egli indicatori e non esaurisce l'essenza della plusdotazione. Gli studenti </w:t>
      </w:r>
      <w:r w:rsidDel="00000000" w:rsidR="00000000" w:rsidRPr="00000000">
        <w:rPr>
          <w:rFonts w:ascii="Liberation Serif" w:cs="Liberation Serif" w:eastAsia="Liberation Serif" w:hAnsi="Liberation Serif"/>
          <w:b w:val="0"/>
          <w:bCs w:val="0"/>
          <w:i w:val="1"/>
          <w:iCs w:val="1"/>
          <w:smallCaps w:val="0"/>
          <w:strike w:val="0"/>
          <w:color w:val="000000"/>
          <w:sz w:val="24"/>
          <w:szCs w:val="24"/>
          <w:highlight w:val="white"/>
          <w:u w:val="none"/>
          <w:vertAlign w:val="baseline"/>
          <w:rtl w:val="0"/>
        </w:rPr>
        <w:t xml:space="preserve">gifted </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si distinguono non solo per un'intelligenza quantitativamente superiore, ma soprattutto per un funzionamento cognitivo qualitativamente diverso. Questo si manifesta attraverso una spiccata capacità di </w:t>
      </w: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pensiero astratto e fuori dagli schemi</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l'abilità di </w:t>
      </w: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elaborare e collegare grandi quantità di informazioni in tempi ridotti</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e una notevole rapidità nell'apprendimento che li porta a risolvere problemi complessi in modi non convenzionali.</w:t>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280" w:before="28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Tale riflessione trova un fondamentale sostegno nel quadro normativo italiano, che riconosce e tutela i bisogni specifici di questi alunni.</w:t>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280" w:before="28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280" w:before="28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bCs w:val="1"/>
          <w:i w:val="0"/>
          <w:iCs w:val="0"/>
          <w:smallCaps w:val="0"/>
          <w:strike w:val="0"/>
          <w:color w:val="000000"/>
          <w:sz w:val="32"/>
          <w:szCs w:val="32"/>
          <w:highlight w:val="white"/>
          <w:u w:val="none"/>
          <w:vertAlign w:val="baseline"/>
          <w:rtl w:val="0"/>
        </w:rPr>
        <w:t xml:space="preserve">3. Quadro Normativo di Riferimento: i Diritti degli Alunni Gifted</w:t>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240" w:before="24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Il panorama normativo italiano ha compiuto un cammino significativo, transitando da una visione standardizzata dell'istruzione a un modello che riconosce la </w:t>
      </w: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personalizzazione</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come pilastro del successo formativo. In questo alveo, gli studenti ad alto potenziale cognitivo (APC) sono stati progressivamente integrati nella categoria dei </w:t>
      </w: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Bisogni Educativi Speciali (BES)</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trasformando la valorizzazione del talento da una scelta discrezionale a un preciso dovere istituzionale.</w:t>
      </w:r>
      <w:r w:rsidDel="00000000" w:rsidR="00000000" w:rsidRPr="00000000">
        <w:rPr>
          <w:rtl w:val="0"/>
        </w:rPr>
      </w:r>
    </w:p>
    <w:p w:rsidR="00000000" w:rsidDel="00000000" w:rsidP="00000000" w:rsidRDefault="00000000" w:rsidRPr="00000000" w14:paraId="00000027">
      <w:pPr>
        <w:keepNext w:val="1"/>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0"/>
        </w:tabs>
        <w:spacing w:after="80" w:before="28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bCs w:val="1"/>
          <w:i w:val="0"/>
          <w:iCs w:val="0"/>
          <w:smallCaps w:val="0"/>
          <w:strike w:val="0"/>
          <w:color w:val="000000"/>
          <w:sz w:val="28"/>
          <w:szCs w:val="28"/>
          <w:highlight w:val="white"/>
          <w:u w:val="none"/>
          <w:vertAlign w:val="baseline"/>
          <w:rtl w:val="0"/>
        </w:rPr>
        <w:t xml:space="preserve">3.1 L’Evoluzione del Percorso Legislativo</w:t>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240" w:before="24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Il fondamento di questo diritto risiede nel </w:t>
      </w: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DPR 275/99 (art. 4)</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sull'Autonomia Scolastica. Già alla fine degli anni '90, il legislatore stabiliva che le scuole avessero il compito di riconoscere e valorizzare le diversità, promuovendo le potenzialità di ciascuno. Tuttavia, l'applicazione di tale principio agli alunni </w:t>
      </w:r>
      <w:r w:rsidDel="00000000" w:rsidR="00000000" w:rsidRPr="00000000">
        <w:rPr>
          <w:rFonts w:ascii="Liberation Serif" w:cs="Liberation Serif" w:eastAsia="Liberation Serif" w:hAnsi="Liberation Serif"/>
          <w:b w:val="0"/>
          <w:bCs w:val="0"/>
          <w:i w:val="1"/>
          <w:iCs w:val="1"/>
          <w:smallCaps w:val="0"/>
          <w:strike w:val="0"/>
          <w:color w:val="000000"/>
          <w:sz w:val="24"/>
          <w:szCs w:val="24"/>
          <w:highlight w:val="white"/>
          <w:u w:val="none"/>
          <w:vertAlign w:val="baseline"/>
          <w:rtl w:val="0"/>
        </w:rPr>
        <w:t xml:space="preserve">gifted</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è rimasta a lungo implicita, necessitando di successivi chiarimenti ministeriali per diventare operativa.</w:t>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240" w:before="24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Un passaggio decisivo è avvenuto con la </w:t>
      </w: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Direttiva MIUR del 27 dicembre 2012</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e la successiva </w:t>
      </w: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Circolare n. 8/2013</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che hanno strutturato l'area dei BES.  Sebbene il </w:t>
      </w: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D.Lgs. 66/2017</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abbia poi focalizzato l'attenzione sull'inclusione, è nel 2019 che si è giunti a una vera e propria "svolta burocratica":</w:t>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707"/>
        </w:tabs>
        <w:spacing w:after="0" w:before="240" w:line="240" w:lineRule="auto"/>
        <w:ind w:left="424"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 Nota MIUR n. 562 (3 aprile 2019):</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Rappresenta la pietra miliare del settore. Per la prima volta, il Ministero invita esplicitamente i Consigli di Classe a considerare gli alunni ad alto potenziale tra i BES. Questa nota legittima l’adozione di </w:t>
      </w: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Piani Didattici Personalizzati (PDP)</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nei casi in cui l’eccezionalità cognitiva generi disagio o richieda metodologie specifiche.</w:t>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707"/>
        </w:tabs>
        <w:spacing w:after="0" w:before="240" w:line="240" w:lineRule="auto"/>
        <w:ind w:left="424" w:right="0" w:firstLine="0"/>
        <w:jc w:val="both"/>
        <w:rPr>
          <w:rFonts w:ascii="Liberation Serif" w:cs="Liberation Serif" w:eastAsia="Liberation Serif" w:hAnsi="Liberation Serif"/>
          <w:b w:val="0"/>
          <w:bCs w:val="0"/>
          <w:i w:val="0"/>
          <w:iCs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707"/>
        </w:tabs>
        <w:spacing w:after="240" w:before="0" w:line="240" w:lineRule="auto"/>
        <w:ind w:left="424"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 Nota MIUR n. 5729 (4 aprile 2019):</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Integra la precedente, richiamando l'attenzione sulle "disarmonie nello sviluppo" (come il divario tra maturità cognitiva ed emotiva), affidando alla scuola il compito non solo di istruire, ma di identificare precocemente il talento per prevenire il rischio di abbandono o sotto-rendimento.</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240" w:before="24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Nonostante la solidità dei chiarimenti ministeriali del 2019, la tutela degli alunni </w:t>
      </w:r>
      <w:r w:rsidDel="00000000" w:rsidR="00000000" w:rsidRPr="00000000">
        <w:rPr>
          <w:rFonts w:ascii="Liberation Serif" w:cs="Liberation Serif" w:eastAsia="Liberation Serif" w:hAnsi="Liberation Serif"/>
          <w:b w:val="0"/>
          <w:bCs w:val="0"/>
          <w:i w:val="1"/>
          <w:iCs w:val="1"/>
          <w:smallCaps w:val="0"/>
          <w:strike w:val="0"/>
          <w:color w:val="000000"/>
          <w:sz w:val="24"/>
          <w:szCs w:val="24"/>
          <w:highlight w:val="white"/>
          <w:u w:val="none"/>
          <w:vertAlign w:val="baseline"/>
          <w:rtl w:val="0"/>
        </w:rPr>
        <w:t xml:space="preserve">gifted</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è rimasta per anni legata a circolari amministrative, prive della forza cogente di una legge dello Stato.</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240" w:before="24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Il </w:t>
      </w: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Disegno di Legge 2025</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punta a stabilizzare definitivamente la materia, prevedendo il </w:t>
      </w: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riconoscimento giuridico</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della plusdotazione a livello nazionale, affinché il diritto all'inclusione non dipenda più dalla sensibilità del singolo istituto, ma diventi un pilastro uniforme del sistema scolastico i</w:t>
      </w:r>
      <w:bookmarkStart w:colFirst="0" w:colLast="0" w:name="bookmark=id.oj2npki5i52l" w:id="1"/>
      <w:bookmarkEnd w:id="1"/>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taliano.</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240" w:before="24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highlight w:val="white"/>
          <w:u w:val="none"/>
          <w:vertAlign w:val="baseline"/>
        </w:rPr>
      </w:pPr>
      <w:r w:rsidDel="00000000" w:rsidR="00000000" w:rsidRPr="00000000">
        <w:rPr>
          <w:rtl w:val="0"/>
        </w:rPr>
      </w:r>
    </w:p>
    <w:bookmarkStart w:colFirst="0" w:colLast="0" w:name="bookmark=id.rsuvv9f9lod4" w:id="2"/>
    <w:bookmarkEnd w:id="2"/>
    <w:p w:rsidR="00000000" w:rsidDel="00000000" w:rsidP="00000000" w:rsidRDefault="00000000" w:rsidRPr="00000000" w14:paraId="00000030">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280" w:before="28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bCs w:val="1"/>
          <w:i w:val="0"/>
          <w:iCs w:val="0"/>
          <w:smallCaps w:val="0"/>
          <w:strike w:val="0"/>
          <w:color w:val="000000"/>
          <w:sz w:val="32"/>
          <w:szCs w:val="32"/>
          <w:highlight w:val="white"/>
          <w:u w:val="none"/>
          <w:vertAlign w:val="baseline"/>
          <w:rtl w:val="0"/>
        </w:rPr>
        <w:t xml:space="preserve">4. L'Identificazione: Osservare e Riconoscere l'Alto Potenziale</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280" w:before="28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bCs w:val="1"/>
          <w:i w:val="0"/>
          <w:iCs w:val="0"/>
          <w:smallCaps w:val="0"/>
          <w:strike w:val="0"/>
          <w:color w:val="000000"/>
          <w:sz w:val="28"/>
          <w:szCs w:val="28"/>
          <w:highlight w:val="white"/>
          <w:u w:val="none"/>
          <w:vertAlign w:val="baseline"/>
          <w:rtl w:val="0"/>
        </w:rPr>
        <w:t xml:space="preserve">4.1 Profili e Caratteristiche Osservabili</w:t>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280" w:before="28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Per aiutare i docenti nel processo di osservazione, è utile organizzare le molteplici caratteristiche degli studenti </w:t>
      </w:r>
      <w:r w:rsidDel="00000000" w:rsidR="00000000" w:rsidRPr="00000000">
        <w:rPr>
          <w:rFonts w:ascii="Liberation Serif" w:cs="Liberation Serif" w:eastAsia="Liberation Serif" w:hAnsi="Liberation Serif"/>
          <w:b w:val="0"/>
          <w:bCs w:val="0"/>
          <w:i w:val="1"/>
          <w:iCs w:val="1"/>
          <w:smallCaps w:val="0"/>
          <w:strike w:val="0"/>
          <w:color w:val="000000"/>
          <w:sz w:val="24"/>
          <w:szCs w:val="24"/>
          <w:highlight w:val="white"/>
          <w:u w:val="none"/>
          <w:vertAlign w:val="baseline"/>
          <w:rtl w:val="0"/>
        </w:rPr>
        <w:t xml:space="preserve">gifted </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in aree tematiche.</w:t>
      </w: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0"/>
          <w:tab w:val="left" w:leader="none" w:pos="707"/>
          <w:tab w:val="left" w:leader="none" w:pos="911"/>
        </w:tabs>
        <w:spacing w:after="0" w:before="280" w:line="240" w:lineRule="auto"/>
        <w:ind w:left="425"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Caratteristiche nell'Apprendimento:</w:t>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0"/>
          <w:tab w:val="left" w:leader="none" w:pos="1414"/>
          <w:tab w:val="left" w:leader="none" w:pos="1822"/>
        </w:tabs>
        <w:spacing w:after="0" w:before="0" w:line="240" w:lineRule="auto"/>
        <w:ind w:left="425" w:right="0" w:firstLine="1413"/>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Pensiero logico, analitico e capacità di cogliere rapidamente nessi e relazioni.</w:t>
      </w: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0"/>
          <w:tab w:val="left" w:leader="none" w:pos="1414"/>
          <w:tab w:val="left" w:leader="none" w:pos="1822"/>
        </w:tabs>
        <w:spacing w:after="0" w:before="0" w:line="240" w:lineRule="auto"/>
        <w:ind w:left="425" w:right="0" w:firstLine="1413"/>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Amore per le sfide intellettuali e i problemi complessi.</w:t>
      </w: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0"/>
          <w:tab w:val="left" w:leader="none" w:pos="1414"/>
          <w:tab w:val="left" w:leader="none" w:pos="1822"/>
        </w:tabs>
        <w:spacing w:after="0" w:before="0" w:line="240" w:lineRule="auto"/>
        <w:ind w:left="425" w:right="0" w:firstLine="1413"/>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Rapidità di apprendimento, che li porta a saltare alcune fasi del percorso </w:t>
        <w:tab/>
        <w:tab/>
        <w:tab/>
        <w:tab/>
        <w:t xml:space="preserve">didattico standard.</w:t>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0"/>
          <w:tab w:val="left" w:leader="none" w:pos="1414"/>
          <w:tab w:val="left" w:leader="none" w:pos="1822"/>
        </w:tabs>
        <w:spacing w:after="0" w:before="0" w:line="240" w:lineRule="auto"/>
        <w:ind w:left="425" w:right="0" w:firstLine="1413"/>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Eccezionale capacità di memoria e di elaborazione di grandi quantità di </w:t>
        <w:tab/>
        <w:tab/>
        <w:tab/>
        <w:tab/>
        <w:t xml:space="preserve">informazioni.</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1414"/>
          <w:tab w:val="left" w:leader="none" w:pos="1822"/>
        </w:tabs>
        <w:spacing w:after="0" w:before="0" w:line="240" w:lineRule="auto"/>
        <w:ind w:left="1838"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0"/>
          <w:tab w:val="left" w:leader="none" w:pos="707"/>
          <w:tab w:val="left" w:leader="none" w:pos="911"/>
        </w:tabs>
        <w:spacing w:after="0" w:before="0" w:line="240" w:lineRule="auto"/>
        <w:ind w:left="425"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Pensiero Creativo:</w:t>
      </w: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0"/>
          <w:tab w:val="left" w:leader="none" w:pos="1414"/>
          <w:tab w:val="left" w:leader="none" w:pos="1822"/>
        </w:tabs>
        <w:spacing w:after="0" w:before="0" w:line="240" w:lineRule="auto"/>
        <w:ind w:left="425" w:right="0" w:firstLine="1413"/>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Produzione di idee originali e insolite.</w:t>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0"/>
          <w:tab w:val="left" w:leader="none" w:pos="1414"/>
          <w:tab w:val="left" w:leader="none" w:pos="1822"/>
        </w:tabs>
        <w:spacing w:after="0" w:before="0" w:line="240" w:lineRule="auto"/>
        <w:ind w:left="425" w:right="0" w:firstLine="1413"/>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Spiccata immaginazione, fantasia e giocosità intellettuale.</w:t>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0"/>
          <w:tab w:val="left" w:leader="none" w:pos="1414"/>
          <w:tab w:val="left" w:leader="none" w:pos="1822"/>
        </w:tabs>
        <w:spacing w:after="0" w:before="0" w:line="240" w:lineRule="auto"/>
        <w:ind w:left="425" w:right="0" w:firstLine="1413"/>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Senso dell'umorismo acuto e non convenzionale.</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0"/>
          <w:tab w:val="left" w:leader="none" w:pos="1414"/>
          <w:tab w:val="left" w:leader="none" w:pos="1822"/>
        </w:tabs>
        <w:spacing w:after="0" w:before="0" w:line="240" w:lineRule="auto"/>
        <w:ind w:left="425" w:right="0" w:firstLine="1413"/>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Disponibilità a sperimentare e a rischiare di sbagliare.</w:t>
      </w: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1414"/>
          <w:tab w:val="left" w:leader="none" w:pos="1822"/>
        </w:tabs>
        <w:spacing w:after="0" w:before="0" w:line="240" w:lineRule="auto"/>
        <w:ind w:left="1838"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0"/>
          <w:tab w:val="left" w:leader="none" w:pos="707"/>
          <w:tab w:val="left" w:leader="none" w:pos="911"/>
        </w:tabs>
        <w:spacing w:after="0" w:before="0" w:line="240" w:lineRule="auto"/>
        <w:ind w:left="425"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Aspetti Motivazionali:</w:t>
      </w: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0"/>
          <w:tab w:val="left" w:leader="none" w:pos="1414"/>
          <w:tab w:val="left" w:leader="none" w:pos="1822"/>
        </w:tabs>
        <w:spacing w:after="0" w:before="0" w:line="240" w:lineRule="auto"/>
        <w:ind w:left="425" w:right="0" w:firstLine="1413"/>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Forte motivazione intrinseca e capacità di fissare obiettivi personali.</w:t>
      </w: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0"/>
          <w:tab w:val="left" w:leader="none" w:pos="1414"/>
          <w:tab w:val="left" w:leader="none" w:pos="1822"/>
        </w:tabs>
        <w:spacing w:after="0" w:before="0" w:line="240" w:lineRule="auto"/>
        <w:ind w:left="425" w:right="0" w:firstLine="1413"/>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Persistenza nel completare compiti ritenuti interessanti e stimolanti.</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0"/>
          <w:tab w:val="left" w:leader="none" w:pos="1414"/>
          <w:tab w:val="left" w:leader="none" w:pos="1822"/>
        </w:tabs>
        <w:spacing w:after="0" w:before="0" w:line="240" w:lineRule="auto"/>
        <w:ind w:left="425" w:right="0" w:firstLine="1413"/>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Elevati standard personali, che possono sfociare nel perfezionismo.</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0"/>
          <w:tab w:val="left" w:leader="none" w:pos="1414"/>
          <w:tab w:val="left" w:leader="none" w:pos="1822"/>
        </w:tabs>
        <w:spacing w:after="0" w:before="0" w:line="240" w:lineRule="auto"/>
        <w:ind w:left="425" w:right="0" w:firstLine="1413"/>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Tendenza a essere autocritici e a preferire il lavoro indipendente.</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1414"/>
          <w:tab w:val="left" w:leader="none" w:pos="1822"/>
        </w:tabs>
        <w:spacing w:after="0" w:before="0" w:line="240" w:lineRule="auto"/>
        <w:ind w:left="1838"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0"/>
          <w:tab w:val="left" w:leader="none" w:pos="707"/>
          <w:tab w:val="left" w:leader="none" w:pos="911"/>
        </w:tabs>
        <w:spacing w:after="0" w:before="0" w:line="240" w:lineRule="auto"/>
        <w:ind w:left="425"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Leadership e Abilità Sociali:</w:t>
      </w: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0"/>
          <w:tab w:val="left" w:leader="none" w:pos="1414"/>
          <w:tab w:val="left" w:leader="none" w:pos="1822"/>
        </w:tabs>
        <w:spacing w:after="0" w:before="0" w:line="240" w:lineRule="auto"/>
        <w:ind w:left="425" w:right="0" w:firstLine="1413"/>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Tendenza a prendere l'iniziativa e a motivare il gruppo.</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0"/>
          <w:tab w:val="left" w:leader="none" w:pos="1414"/>
          <w:tab w:val="left" w:leader="none" w:pos="1822"/>
        </w:tabs>
        <w:spacing w:after="0" w:before="0" w:line="240" w:lineRule="auto"/>
        <w:ind w:left="425" w:right="0" w:firstLine="1413"/>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Spiccata empatia e maturità sociale rispetto ai coetanei.</w:t>
      </w: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0"/>
          <w:tab w:val="left" w:leader="none" w:pos="1414"/>
          <w:tab w:val="left" w:leader="none" w:pos="1822"/>
        </w:tabs>
        <w:spacing w:after="0" w:before="0" w:line="240" w:lineRule="auto"/>
        <w:ind w:left="425" w:right="0" w:firstLine="1413"/>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Buone capacità comunicative e di sintesi.</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0"/>
          <w:tab w:val="left" w:leader="none" w:pos="1414"/>
          <w:tab w:val="left" w:leader="none" w:pos="1822"/>
        </w:tabs>
        <w:spacing w:after="0" w:before="0" w:line="240" w:lineRule="auto"/>
        <w:ind w:left="425" w:right="0" w:firstLine="1413"/>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Flessibilità e adattabilità in situazioni nuove.</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1414"/>
          <w:tab w:val="left" w:leader="none" w:pos="1822"/>
        </w:tabs>
        <w:spacing w:after="0" w:before="0" w:line="240" w:lineRule="auto"/>
        <w:ind w:left="1838"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0"/>
          <w:tab w:val="left" w:leader="none" w:pos="707"/>
          <w:tab w:val="left" w:leader="none" w:pos="911"/>
        </w:tabs>
        <w:spacing w:after="0" w:before="0" w:line="240" w:lineRule="auto"/>
        <w:ind w:left="425"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Autodeterminazione:</w:t>
      </w: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0"/>
          <w:tab w:val="left" w:leader="none" w:pos="1414"/>
          <w:tab w:val="left" w:leader="none" w:pos="1822"/>
        </w:tabs>
        <w:spacing w:after="0" w:before="0" w:line="240" w:lineRule="auto"/>
        <w:ind w:left="425" w:right="0" w:firstLine="1413"/>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Atteggiamento scettico verso le dichiarazioni autoritarie e le decisioni </w:t>
        <w:tab/>
        <w:tab/>
        <w:tab/>
        <w:tab/>
        <w:t xml:space="preserve">arbitrarie.</w:t>
      </w: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0"/>
          <w:tab w:val="left" w:leader="none" w:pos="1414"/>
          <w:tab w:val="left" w:leader="none" w:pos="1822"/>
        </w:tabs>
        <w:spacing w:after="0" w:before="0" w:line="240" w:lineRule="auto"/>
        <w:ind w:left="425" w:right="0" w:firstLine="1413"/>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Tendenza a porre domande incalzanti per ottenere chiarimenti.</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0"/>
          <w:tab w:val="left" w:leader="none" w:pos="1414"/>
          <w:tab w:val="left" w:leader="none" w:pos="1822"/>
        </w:tabs>
        <w:spacing w:after="0" w:before="0" w:line="240" w:lineRule="auto"/>
        <w:ind w:left="425" w:right="0" w:firstLine="1413"/>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Preferenza per la compagnia di ragazzi più grandi o di adulti.</w:t>
      </w: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0"/>
          <w:tab w:val="left" w:leader="none" w:pos="1414"/>
          <w:tab w:val="left" w:leader="none" w:pos="1822"/>
        </w:tabs>
        <w:spacing w:after="0" w:before="0" w:line="240" w:lineRule="auto"/>
        <w:ind w:left="425" w:right="0" w:firstLine="1413"/>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Facilità ad annoiarsi durante compiti di routine o attività ripetitive.</w:t>
      </w: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1414"/>
          <w:tab w:val="left" w:leader="none" w:pos="1822"/>
        </w:tabs>
        <w:spacing w:after="0" w:before="0" w:line="240" w:lineRule="auto"/>
        <w:ind w:left="1838"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0"/>
          <w:tab w:val="left" w:leader="none" w:pos="707"/>
          <w:tab w:val="left" w:leader="none" w:pos="911"/>
        </w:tabs>
        <w:spacing w:after="0" w:before="0" w:line="240" w:lineRule="auto"/>
        <w:ind w:left="425"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Caratteristiche psicologiche:</w:t>
      </w: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0"/>
          <w:tab w:val="left" w:leader="none" w:pos="1414"/>
          <w:tab w:val="left" w:leader="none" w:pos="1822"/>
        </w:tabs>
        <w:spacing w:after="0" w:before="0" w:line="240" w:lineRule="auto"/>
        <w:ind w:left="425" w:right="0" w:firstLine="1413"/>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Mostrano notevole sensibilità su come gli altri li percepiscono.</w:t>
      </w: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0"/>
          <w:tab w:val="left" w:leader="none" w:pos="1414"/>
          <w:tab w:val="left" w:leader="none" w:pos="1822"/>
        </w:tabs>
        <w:spacing w:after="0" w:before="0" w:line="240" w:lineRule="auto"/>
        <w:ind w:left="425" w:right="0" w:firstLine="1413"/>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Possono modificare il loro comportamento per adattarsi ad una situazione.</w:t>
      </w: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0"/>
          <w:tab w:val="left" w:leader="none" w:pos="1414"/>
          <w:tab w:val="left" w:leader="none" w:pos="1822"/>
        </w:tabs>
        <w:spacing w:after="0" w:before="0" w:line="240" w:lineRule="auto"/>
        <w:ind w:left="425" w:right="0" w:firstLine="1413"/>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Possono manifestare atteggiamenti depressivi perché “nessuno li capisce”.</w:t>
      </w:r>
      <w:r w:rsidDel="00000000" w:rsidR="00000000" w:rsidRPr="00000000">
        <w:rPr>
          <w:rtl w:val="0"/>
        </w:rPr>
      </w:r>
    </w:p>
    <w:bookmarkStart w:colFirst="0" w:colLast="0" w:name="bookmark=id.6lmf5d297p1b" w:id="3"/>
    <w:bookmarkEnd w:id="3"/>
    <w:p w:rsidR="00000000" w:rsidDel="00000000" w:rsidP="00000000" w:rsidRDefault="00000000" w:rsidRPr="00000000" w14:paraId="00000055">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0"/>
          <w:tab w:val="left" w:leader="none" w:pos="1414"/>
          <w:tab w:val="left" w:leader="none" w:pos="1822"/>
        </w:tabs>
        <w:spacing w:after="0" w:before="0" w:line="240" w:lineRule="auto"/>
        <w:ind w:left="425" w:right="0" w:firstLine="1413"/>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Possono manifestare una certa tendenza all’isolamento.</w:t>
      </w: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280" w:before="280" w:line="288"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bCs w:val="1"/>
          <w:i w:val="0"/>
          <w:iCs w:val="0"/>
          <w:smallCaps w:val="0"/>
          <w:strike w:val="0"/>
          <w:color w:val="000000"/>
          <w:sz w:val="28"/>
          <w:szCs w:val="28"/>
          <w:highlight w:val="white"/>
          <w:u w:val="none"/>
          <w:vertAlign w:val="baseline"/>
          <w:rtl w:val="0"/>
        </w:rPr>
        <w:t xml:space="preserve">4.2 Sviluppo Asincrono e Possibili Criticità</w:t>
      </w: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280" w:before="28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Una delle caratteristiche più distintive della plusdotazione è la </w:t>
      </w: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disarmonia evolutiva</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ovvero lo sviluppo asincrono tra le diverse aree della personalità. È comune osservare un notevole divario tra uno sviluppo cognitivo molto avanzato e uno sviluppo emotivo, sociale o motorio allineato all'età cronologica. Questa asincronia spiega perché un alunno possa dominare concetti astratti ma avere reazioni emotive infantili di fronte alla frustrazione, manifestando l'ipersensibilità e l'impazienza notate in classe. Un'altra manifestazione di questa asincronia è il divario pensiero-mano: i pensieri scorrono più velocemente della mano che scrive, rendendo talvolta la calligrafia poco leggibile e disorganizzata. Tali disarmonie sono alla base di molte delle criticità osservabili:</w:t>
      </w: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707"/>
          <w:tab w:val="left" w:leader="none" w:pos="911"/>
        </w:tabs>
        <w:spacing w:after="0" w:before="280" w:line="240" w:lineRule="auto"/>
        <w:ind w:left="628"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Tendenza ad annoiarsi, a distrarsi o a disturbare una volta terminati i compiti.</w:t>
      </w: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707"/>
          <w:tab w:val="left" w:leader="none" w:pos="911"/>
        </w:tabs>
        <w:spacing w:after="0" w:before="0" w:line="240" w:lineRule="auto"/>
        <w:ind w:left="628"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Intolleranza e impazienza verso la lentezza dei compagni.</w:t>
      </w: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707"/>
          <w:tab w:val="left" w:leader="none" w:pos="911"/>
        </w:tabs>
        <w:spacing w:after="0" w:before="0" w:line="240" w:lineRule="auto"/>
        <w:ind w:left="628"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Ipereccitabilità emotiva, con reazioni intense e difficoltà nella gestione delle emozioni.</w:t>
      </w: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707"/>
          <w:tab w:val="left" w:leader="none" w:pos="911"/>
        </w:tabs>
        <w:spacing w:after="0" w:before="0" w:line="240" w:lineRule="auto"/>
        <w:ind w:left="628"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Eccessiva autocritica, perfezionismo e paura del fallimento.</w:t>
      </w: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707"/>
          <w:tab w:val="left" w:leader="none" w:pos="911"/>
        </w:tabs>
        <w:spacing w:after="0" w:before="0" w:line="240" w:lineRule="auto"/>
        <w:ind w:left="628"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Rischio di isolamento sociale a causa di interessi e modalità di pensiero differenti dai pari.</w:t>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707"/>
          <w:tab w:val="left" w:leader="none" w:pos="911"/>
        </w:tabs>
        <w:spacing w:after="280" w:before="0" w:line="240" w:lineRule="auto"/>
        <w:ind w:left="628"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Rischio di essere percepiti come prepotenti, arroganti ("so-tutto-io"), bizzarri o maleducati.</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280" w:before="280" w:line="288"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bCs w:val="1"/>
          <w:i w:val="0"/>
          <w:iCs w:val="0"/>
          <w:smallCaps w:val="0"/>
          <w:strike w:val="0"/>
          <w:color w:val="000000"/>
          <w:sz w:val="28"/>
          <w:szCs w:val="28"/>
          <w:highlight w:val="white"/>
          <w:u w:val="none"/>
          <w:vertAlign w:val="baseline"/>
          <w:rtl w:val="0"/>
        </w:rPr>
        <w:t xml:space="preserve">4.3 Gli Studenti Doppiamente Eccezionali (2e)</w:t>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0" w:before="278"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Una menzione specifica meritano gli studenti </w:t>
      </w: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doppiamente eccezionali (2e)</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ovvero coloro che presentano contemporaneamente un alto potenziale cognitivo e un disturbo come un DSA (Disturbo Specifico dell'Apprendimento) o un ADHD (Disturbo da Deficit di Attenzione/Iperattività). In questi casi, si verifica spesso un </w:t>
      </w: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effetto mascheramento</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le abilità cognitive superiori possono compensare e nascondere le difficoltà del disturbo, mentre il disturbo può offuscare e impedire l'espressione del potenziale, rendendo la diagnosi e l'intervento particolarmente complessi.</w:t>
      </w:r>
      <w:r w:rsidDel="00000000" w:rsidR="00000000" w:rsidRPr="00000000">
        <w:rPr>
          <w:rtl w:val="0"/>
        </w:rPr>
      </w:r>
    </w:p>
    <w:bookmarkStart w:colFirst="0" w:colLast="0" w:name="bookmark=id.vo0liacd96ne" w:id="4"/>
    <w:bookmarkEnd w:id="4"/>
    <w:p w:rsidR="00000000" w:rsidDel="00000000" w:rsidP="00000000" w:rsidRDefault="00000000" w:rsidRPr="00000000" w14:paraId="00000060">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0" w:before="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Una volta riconosciuti questi profili, l'osservazione deve tradursi in un'azione coordinata. Diventa quindi essenziale adottare un modello di intervento strutturato che coinvolga tutte le figure educative di riferimento.</w:t>
      </w: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0" w:before="0" w:line="276" w:lineRule="auto"/>
        <w:ind w:left="0" w:right="0" w:firstLine="0"/>
        <w:jc w:val="both"/>
        <w:rPr>
          <w:rFonts w:ascii="Liberation Serif" w:cs="Liberation Serif" w:eastAsia="Liberation Serif" w:hAnsi="Liberation Serif"/>
          <w:b w:val="0"/>
          <w:bCs w:val="0"/>
          <w:i w:val="0"/>
          <w:iCs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0" w:before="0" w:line="276"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br w:type="textWrapping"/>
      </w:r>
      <w:r w:rsidDel="00000000" w:rsidR="00000000" w:rsidRPr="00000000">
        <w:rPr>
          <w:rFonts w:ascii="Liberation Serif" w:cs="Liberation Serif" w:eastAsia="Liberation Serif" w:hAnsi="Liberation Serif"/>
          <w:b w:val="1"/>
          <w:bCs w:val="1"/>
          <w:i w:val="0"/>
          <w:iCs w:val="0"/>
          <w:smallCaps w:val="0"/>
          <w:strike w:val="0"/>
          <w:color w:val="000000"/>
          <w:sz w:val="32"/>
          <w:szCs w:val="32"/>
          <w:highlight w:val="white"/>
          <w:u w:val="none"/>
          <w:vertAlign w:val="baseline"/>
          <w:rtl w:val="0"/>
        </w:rPr>
        <w:t xml:space="preserve">5. Il Modello di Intervento: Un'Alleanza tra Scuola, Famiglia e Specialisti</w:t>
      </w: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0" w:before="0" w:line="276" w:lineRule="auto"/>
        <w:ind w:left="0" w:right="0" w:firstLine="0"/>
        <w:jc w:val="both"/>
        <w:rPr>
          <w:rFonts w:ascii="Liberation Serif" w:cs="Liberation Serif" w:eastAsia="Liberation Serif" w:hAnsi="Liberation Serif"/>
          <w:b w:val="1"/>
          <w:bCs w:val="1"/>
          <w:i w:val="0"/>
          <w:iCs w:val="0"/>
          <w:smallCaps w:val="0"/>
          <w:strike w:val="0"/>
          <w:color w:val="000000"/>
          <w:sz w:val="32"/>
          <w:szCs w:val="32"/>
          <w:highlight w:val="white"/>
          <w:u w:val="none"/>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40" w:before="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bCs w:val="1"/>
          <w:i w:val="0"/>
          <w:iCs w:val="0"/>
          <w:smallCaps w:val="0"/>
          <w:strike w:val="0"/>
          <w:color w:val="000000"/>
          <w:sz w:val="28"/>
          <w:szCs w:val="28"/>
          <w:highlight w:val="white"/>
          <w:u w:val="none"/>
          <w:vertAlign w:val="baseline"/>
          <w:rtl w:val="0"/>
        </w:rPr>
        <w:t xml:space="preserve">5.1 Team Educativo e Multidisciplinare</w:t>
      </w: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0"/>
        </w:tabs>
        <w:spacing w:after="0" w:before="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Per rispondere in modo efficace ai bisogni educativi, emotivi e cognitivi degli alunni plusdotati e per garantire una presa in carico completa e tempestiva, il protocollo prevede l’istituzione di un Team Educativo e Multidisciplinare. Questo gruppo di lavoro, composto da figure professionali diverse ma in costante dialogo, ha il compito di coordinare l’identificazione, la valutazione, l’elaborazione e il monitoraggio degli interventi personalizzati.</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0"/>
        </w:tabs>
        <w:spacing w:after="0" w:before="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0" w:before="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Le principali funzioni del Team sono:</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 Raccogliere e integrare osservazioni</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provenienti da scuola, famiglia e, se presenti, servizi sanitari o psicologici, per avere un quadro completo delle caratteristiche e dei bisogni dell’alunno;</w:t>
      </w: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 Promuovere l’attivazione di processi di valutazione specialistica</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quando necessario, orientando verso professionisti accreditati per approfondimenti psicodiagnostici e cognitivi;</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 Supportare la progettazione di piani di intervento personalizzati</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favorendo la coerenza tra gli strumenti didattici, l’organizzazione scolastica e le risorse disponibili;</w:t>
      </w: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 Favorire il monitoraggio continuo</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dei progressi e delle difficoltà dell’alunno, con incontri periodici di verifica e adattamento delle strategie;</w:t>
      </w: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 Costruire un raccordo stabile tra scuola, famiglia e servizi esterni</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garantendo una comunicazione chiara e condivisa e promuovendo un clima educativo inclusivo e valorizzante.</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Il Team si compone, in modo minimo, delle seguenti figure:</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737"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il Referente Plusdotazione dell’Istituto (coordinatore del Team);</w:t>
      </w: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737"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uno o più docenti curriculari coinvolti nell’insegnamento dell’alunno;</w:t>
      </w: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737"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un docente di sostegno o esperto di didattica inclusiva;</w:t>
      </w: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737"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lo psicologo scolastico (ove previsto);</w:t>
      </w: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737"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rappresentanti della famiglia.</w:t>
      </w: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737" w:right="0" w:firstLine="0"/>
        <w:jc w:val="both"/>
        <w:rPr>
          <w:rFonts w:ascii="Liberation Serif" w:cs="Liberation Serif" w:eastAsia="Liberation Serif" w:hAnsi="Liberation Serif"/>
          <w:b w:val="0"/>
          <w:bCs w:val="0"/>
          <w:i w:val="0"/>
          <w:iCs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Al bisogno, e in accordo con la famiglia, il Team può interfacciarsi con figure esterne alla scuola, quali psicologi clinici, neuropsichiatri infantili o altri specialisti, per integrare valutazioni e interventi nell’interesse dell’alunno.</w:t>
      </w: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Questa struttura operativa garantisce un approccio </w:t>
      </w: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coordinato, coerente e continuo</w:t>
      </w:r>
      <w:bookmarkStart w:colFirst="0" w:colLast="0" w:name="bookmark=id.chmy81japcyi" w:id="5"/>
      <w:bookmarkEnd w:id="5"/>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nella gestione educativa degli alunni plusdotati, favorendo il pieno sviluppo delle loro potenzialità e la prevenzione di rischi come la frustrazione, il sottorendimento o la disaffezione scolastica.</w:t>
      </w: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40" w:before="0" w:line="240" w:lineRule="auto"/>
        <w:ind w:left="0" w:right="0" w:firstLine="0"/>
        <w:jc w:val="both"/>
        <w:rPr>
          <w:rFonts w:ascii="Liberation Serif" w:cs="Liberation Serif" w:eastAsia="Liberation Serif" w:hAnsi="Liberation Serif"/>
          <w:b w:val="1"/>
          <w:bCs w:val="1"/>
          <w:i w:val="0"/>
          <w:iCs w:val="0"/>
          <w:smallCaps w:val="0"/>
          <w:strike w:val="0"/>
          <w:color w:val="000000"/>
          <w:sz w:val="28"/>
          <w:szCs w:val="28"/>
          <w:highlight w:val="white"/>
          <w:u w:val="none"/>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40" w:before="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bCs w:val="1"/>
          <w:i w:val="0"/>
          <w:iCs w:val="0"/>
          <w:smallCaps w:val="0"/>
          <w:strike w:val="0"/>
          <w:color w:val="000000"/>
          <w:sz w:val="28"/>
          <w:szCs w:val="28"/>
          <w:highlight w:val="white"/>
          <w:u w:val="none"/>
          <w:vertAlign w:val="baseline"/>
          <w:rtl w:val="0"/>
        </w:rPr>
        <w:t xml:space="preserve">5.2 Le Fasi del Protocollo Operativo</w:t>
      </w: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Il Protocollo Operativo per la plusdotazione si articola in </w:t>
      </w: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fasi sequenziali</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finalizzate all’individuazione dei bisogni educativi, alla valorizzazione delle potenzialità e al benessere scolastico dell’alunno.</w:t>
      </w: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1. Mappare i bisogni</w:t>
      </w: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72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Analisi approfondita del contesto educativo.</w:t>
      </w: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72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Rilevazione delle necessità dell’alunno, della sua famiglia e della classe.</w:t>
      </w: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72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Individuazione delle caratteristiche cognitive, emotive e relazionali.</w:t>
      </w: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2. Attuare l’osservazione strutturata</w:t>
      </w: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72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Raccogliere dati qualitativi e quantitativi attraverso strumenti condivisi.</w:t>
      </w: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72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Utilizzo di:</w:t>
      </w: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144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 griglie disciplinari</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(Allegato A): per rilevare abilità cognitive e competenze nelle diverse discipline;</w:t>
      </w:r>
      <w:r w:rsidDel="00000000" w:rsidR="00000000" w:rsidRPr="00000000">
        <w:rPr>
          <w:rtl w:val="0"/>
        </w:rPr>
      </w:r>
    </w:p>
    <w:p w:rsidR="00000000" w:rsidDel="00000000" w:rsidP="00000000" w:rsidRDefault="00000000" w:rsidRPr="00000000" w14:paraId="00000083">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144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 griglie osservative ispirate al Modello di Renzulli</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(Allegato B): per osservare creatività, coinvolgimento nel compito e motivazione.</w:t>
      </w: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72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Nota: gli strumenti sono di </w:t>
      </w: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natura osservativa e orientativa</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e </w:t>
      </w:r>
      <w:r w:rsidDel="00000000" w:rsidR="00000000" w:rsidRPr="00000000">
        <w:rPr>
          <w:rFonts w:ascii="Liberation Serif" w:cs="Liberation Serif" w:eastAsia="Liberation Serif" w:hAnsi="Liberation Serif"/>
          <w:b w:val="0"/>
          <w:bCs w:val="0"/>
          <w:i w:val="1"/>
          <w:iCs w:val="1"/>
          <w:smallCaps w:val="0"/>
          <w:strike w:val="0"/>
          <w:color w:val="000000"/>
          <w:sz w:val="24"/>
          <w:szCs w:val="24"/>
          <w:highlight w:val="white"/>
          <w:u w:val="none"/>
          <w:vertAlign w:val="baseline"/>
          <w:rtl w:val="0"/>
        </w:rPr>
        <w:t xml:space="preserve">non costituiscono diagnosi o certificazione</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w:t>
      </w: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3. Redigere la relazione finale di osservazione</w:t>
      </w: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72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I docenti del team educativo o del Consiglio di Classe elaborano una relazione di sintesi (Allegato C).</w:t>
      </w: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72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La relazione  si basa sui dati raccolti nelle griglie di osservazione; individua evidenze significative; formula proposte di intervento educativo/didattico-operative.</w:t>
      </w: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72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Costituisce il </w:t>
      </w: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documento di riferimento</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per il confronto nell’équipe multidisciplinare e per la definizione degli </w:t>
      </w:r>
      <w:r w:rsidDel="00000000" w:rsidR="00000000" w:rsidRPr="00000000">
        <w:rPr>
          <w:highlight w:val="white"/>
          <w:rtl w:val="0"/>
        </w:rPr>
        <w:t xml:space="preserve">interventi</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più appropriati.</w:t>
      </w: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4. Definire gli obiettivi di miglioramento</w:t>
      </w: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72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Sulla base delle evidenze osservative, si individuano obiettivi chiari, condivisi e verificabili:</w:t>
      </w: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144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 sul piano didattico</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per potenziare competenze;</w:t>
      </w: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144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 sul piano emotivo-relazionale</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per sostenere benessere e motivazione.</w:t>
      </w: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72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Per gli alunni con profilo di plusdotazione, tali obiettivi vengono formalizzati in un </w:t>
      </w: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Piano Didattico Personalizzato (PDP)</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specifico.</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72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Il PDP definisce:</w:t>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144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strategie educative personalizzate;</w:t>
      </w: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144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modalità di arricchimento e potenziamento;</w:t>
      </w: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144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strumenti di supporto adeguati alle esigenze individuali.</w:t>
      </w: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5. Formalizzare il Piano d’Azione</w:t>
      </w: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72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Redazione di un progetto di intervento operativo.</w:t>
      </w: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72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Il Piano d’Azione specifica:</w:t>
      </w: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144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obiettivi;</w:t>
      </w: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144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tempi;</w:t>
      </w: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144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strumenti;</w:t>
      </w: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144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metodologie;</w:t>
      </w: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144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modalità di attuazione.</w:t>
      </w: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72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Le sue finalità sono: garantire coerenza, continuità e monitoraggio degli interventi nel tempo.</w:t>
      </w: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bCs w:val="1"/>
          <w:i w:val="0"/>
          <w:iCs w:val="0"/>
          <w:smallCaps w:val="0"/>
          <w:strike w:val="0"/>
          <w:color w:val="000000"/>
          <w:sz w:val="32"/>
          <w:szCs w:val="32"/>
          <w:highlight w:val="white"/>
          <w:u w:val="none"/>
          <w:vertAlign w:val="baseline"/>
          <w:rtl w:val="0"/>
        </w:rPr>
        <w:t xml:space="preserve">6. Condivisione e istituzionalizzazione del progetto</w:t>
      </w: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17" w:right="0" w:hanging="17"/>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tl w:val="0"/>
        </w:rPr>
        <w:t xml:space="preserve">Il progetto di intervento educativo per alunni con plusdotazione, elaborato in seguito alle fasi di osservazione e definizione degli obiettivi, deve essere presentato e discusso con il Dirigente Scolastico per garantirne il </w:t>
      </w:r>
      <w:r w:rsidDel="00000000" w:rsidR="00000000" w:rsidRPr="00000000">
        <w:rPr>
          <w:rFonts w:ascii="Liberation Serif" w:cs="Liberation Serif" w:eastAsia="Liberation Serif" w:hAnsi="Liberation Serif"/>
          <w:b w:val="1"/>
          <w:bCs w:val="1"/>
          <w:i w:val="0"/>
          <w:iCs w:val="0"/>
          <w:smallCaps w:val="0"/>
          <w:strike w:val="0"/>
          <w:color w:val="000000"/>
          <w:sz w:val="24"/>
          <w:szCs w:val="24"/>
          <w:u w:val="none"/>
          <w:shd w:fill="auto" w:val="clear"/>
          <w:vertAlign w:val="baseline"/>
          <w:rtl w:val="0"/>
        </w:rPr>
        <w:t xml:space="preserve">supporto istituzionale</w:t>
      </w:r>
      <w:r w:rsidDel="00000000" w:rsidR="00000000" w:rsidRPr="00000000">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tl w:val="0"/>
        </w:rPr>
        <w:t xml:space="preserve"> e l’inserimento nelle azioni strategiche dell’Istituto.</w:t>
      </w:r>
    </w:p>
    <w:p w:rsidR="00000000" w:rsidDel="00000000" w:rsidP="00000000" w:rsidRDefault="00000000" w:rsidRPr="00000000" w14:paraId="0000009F">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3" w:right="0" w:hanging="3"/>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tl w:val="0"/>
        </w:rPr>
        <w:t xml:space="preserve">La presentazione ha l’obiettivo di:</w:t>
      </w:r>
    </w:p>
    <w:p w:rsidR="00000000" w:rsidDel="00000000" w:rsidP="00000000" w:rsidRDefault="00000000" w:rsidRPr="00000000" w14:paraId="000000A0">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3" w:right="0" w:firstLine="72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tl w:val="0"/>
        </w:rPr>
        <w:t xml:space="preserve">- assicurare coerenza tra il progetto e gli indirizzi del Piano Triennale dell’Offerta Formativa </w:t>
        <w:tab/>
        <w:t xml:space="preserve">(PTOF);</w:t>
      </w:r>
    </w:p>
    <w:p w:rsidR="00000000" w:rsidDel="00000000" w:rsidP="00000000" w:rsidRDefault="00000000" w:rsidRPr="00000000" w14:paraId="000000A1">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3" w:right="0" w:firstLine="72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tl w:val="0"/>
        </w:rPr>
        <w:t xml:space="preserve">- ottenere la formalizzazione istituzionale delle strategie didattiche, delle risorse necessarie e </w:t>
        <w:tab/>
        <w:t xml:space="preserve">dei tempi previsti;</w:t>
      </w:r>
    </w:p>
    <w:p w:rsidR="00000000" w:rsidDel="00000000" w:rsidP="00000000" w:rsidRDefault="00000000" w:rsidRPr="00000000" w14:paraId="000000A2">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3" w:right="0" w:firstLine="72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tl w:val="0"/>
        </w:rPr>
        <w:t xml:space="preserve">- favorire la condivisione tra le diverse componenti scolastiche (dirigenza, team educativo, </w:t>
        <w:tab/>
        <w:t xml:space="preserve">docenti).</w:t>
      </w:r>
    </w:p>
    <w:p w:rsidR="00000000" w:rsidDel="00000000" w:rsidP="00000000" w:rsidRDefault="00000000" w:rsidRPr="00000000" w14:paraId="000000A3">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tl w:val="0"/>
        </w:rPr>
        <w:t xml:space="preserve">Il Dirigente Scolastico, in qualità di garante delle opportunità formative e del coordinamento delle iniziative scolastiche, assume formalmente il progetto, ne condivide gli obiettivi e ne promuove l’attuazione, assicurando:</w:t>
      </w:r>
    </w:p>
    <w:p w:rsidR="00000000" w:rsidDel="00000000" w:rsidP="00000000" w:rsidRDefault="00000000" w:rsidRPr="00000000" w14:paraId="000000A4">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3" w:right="0" w:firstLine="72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tl w:val="0"/>
        </w:rPr>
        <w:t xml:space="preserve">- il coordinamento organizzativo con le risorse umane e materiali;</w:t>
      </w:r>
    </w:p>
    <w:p w:rsidR="00000000" w:rsidDel="00000000" w:rsidP="00000000" w:rsidRDefault="00000000" w:rsidRPr="00000000" w14:paraId="000000A5">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3" w:right="0" w:firstLine="72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tl w:val="0"/>
        </w:rPr>
        <w:t xml:space="preserve">- il raccordo con eventuali risorse esterne, reti territoriali o servizi specialistici;</w:t>
      </w:r>
    </w:p>
    <w:p w:rsidR="00000000" w:rsidDel="00000000" w:rsidP="00000000" w:rsidRDefault="00000000" w:rsidRPr="00000000" w14:paraId="000000A6">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3" w:right="0" w:firstLine="72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la diffusione e la sensibilizzazione rispetto al progetto nella comunità scolastica.</w:t>
      </w: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3" w:right="0" w:hanging="3"/>
        <w:jc w:val="both"/>
        <w:rPr>
          <w:rFonts w:ascii="Liberation Serif" w:cs="Liberation Serif" w:eastAsia="Liberation Serif" w:hAnsi="Liberation Serif"/>
          <w:b w:val="0"/>
          <w:bCs w:val="0"/>
          <w:i w:val="0"/>
          <w:iCs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3" w:right="0" w:hanging="3"/>
        <w:jc w:val="both"/>
        <w:rPr>
          <w:highlight w:val="white"/>
        </w:rPr>
      </w:pP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3" w:right="0" w:hanging="3"/>
        <w:jc w:val="both"/>
        <w:rPr>
          <w:highlight w:val="white"/>
        </w:rPr>
      </w:pP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bCs w:val="1"/>
          <w:i w:val="0"/>
          <w:iCs w:val="0"/>
          <w:smallCaps w:val="0"/>
          <w:strike w:val="0"/>
          <w:color w:val="000000"/>
          <w:sz w:val="32"/>
          <w:szCs w:val="32"/>
          <w:highlight w:val="white"/>
          <w:u w:val="none"/>
          <w:vertAlign w:val="baseline"/>
          <w:rtl w:val="0"/>
        </w:rPr>
        <w:t xml:space="preserve">7. Strategie Didattiche Personalizzate e il PDP</w:t>
      </w: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280" w:before="28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Definito il quadro operativo, l'attenzione si sposta sul cuore dell'azione scolastica: l'implementazione di strategie didattiche mirate a valorizzare il potenziale dello studente all'interno del contesto classe.</w:t>
      </w: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280" w:before="28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Il cuore dell'intervento scolastico risiede nell'adozione di una didattica personalizzata, flessibile e orientata alla complessità. L'obiettivo non è semplificare i contenuti, ma al contrario arricchire e rendere più profondo e sfidante l'apprendimento, offrendo a questi studenti l'opportunità di esplorare i loro talenti e interessi.</w:t>
      </w: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280" w:before="280" w:line="288"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bCs w:val="1"/>
          <w:i w:val="0"/>
          <w:iCs w:val="0"/>
          <w:smallCaps w:val="0"/>
          <w:strike w:val="0"/>
          <w:color w:val="000000"/>
          <w:sz w:val="28"/>
          <w:szCs w:val="28"/>
          <w:highlight w:val="white"/>
          <w:u w:val="none"/>
          <w:vertAlign w:val="baseline"/>
          <w:rtl w:val="0"/>
        </w:rPr>
        <w:t xml:space="preserve">7.1 Adattamenti Curricolari</w:t>
      </w: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280" w:before="28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La risposta didattica più efficace è la differenziazione, un approccio che modula l'insegnamento in base alle necessità individuali. Per gli alunni gifted, questa si attua principalmente attraverso tre strategie:</w:t>
      </w: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0"/>
          <w:tab w:val="left" w:leader="none" w:pos="707"/>
        </w:tabs>
        <w:spacing w:after="0" w:before="280" w:line="240" w:lineRule="auto"/>
        <w:ind w:left="628"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 Arricchimento:</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Offrire approfondimenti sui contenuti curricolari, esplorare tematiche interdisciplinari e sviluppare abilità complesse come il pensiero critico e il </w:t>
      </w:r>
      <w:r w:rsidDel="00000000" w:rsidR="00000000" w:rsidRPr="00000000">
        <w:rPr>
          <w:rFonts w:ascii="Liberation Serif" w:cs="Liberation Serif" w:eastAsia="Liberation Serif" w:hAnsi="Liberation Serif"/>
          <w:b w:val="0"/>
          <w:bCs w:val="0"/>
          <w:i w:val="1"/>
          <w:iCs w:val="1"/>
          <w:smallCaps w:val="0"/>
          <w:strike w:val="0"/>
          <w:color w:val="000000"/>
          <w:sz w:val="24"/>
          <w:szCs w:val="24"/>
          <w:highlight w:val="white"/>
          <w:u w:val="none"/>
          <w:vertAlign w:val="baseline"/>
          <w:rtl w:val="0"/>
        </w:rPr>
        <w:t xml:space="preserve">problem solving</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w:t>
      </w: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0"/>
          <w:tab w:val="left" w:leader="none" w:pos="707"/>
        </w:tabs>
        <w:spacing w:after="0" w:before="0" w:line="240" w:lineRule="auto"/>
        <w:ind w:left="628"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 Accelerazione:</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Permettere un avanzamento più rapido nel programma di studio o consentire l'accesso a contenuti e attività previsti per classi superiori.</w:t>
      </w: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0"/>
          <w:tab w:val="left" w:leader="none" w:pos="707"/>
        </w:tabs>
        <w:spacing w:after="280" w:before="0" w:line="240" w:lineRule="auto"/>
        <w:ind w:left="628"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 Compattazione del curricolo:</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Ridurre il tempo dedicato ad argomenti e abilità già padroneggiati dallo studente, per liberare spazio da dedicare ad attività di arricchimento e approfondimento.</w:t>
      </w: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280" w:before="280" w:line="288" w:lineRule="auto"/>
        <w:ind w:left="4" w:right="0" w:hanging="4"/>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bCs w:val="1"/>
          <w:i w:val="0"/>
          <w:iCs w:val="0"/>
          <w:smallCaps w:val="0"/>
          <w:strike w:val="0"/>
          <w:color w:val="000000"/>
          <w:sz w:val="28"/>
          <w:szCs w:val="28"/>
          <w:highlight w:val="white"/>
          <w:u w:val="none"/>
          <w:vertAlign w:val="baseline"/>
          <w:rtl w:val="0"/>
        </w:rPr>
        <w:t xml:space="preserve">7.2 Metodologie Didattiche Attive</w:t>
      </w: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280" w:before="280" w:line="240" w:lineRule="auto"/>
        <w:ind w:left="4" w:right="0" w:hanging="4"/>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Per stimolare il pensiero divergente e la motivazione intrinseca, è essenziale adottare metodologie che rendano lo studente protagonista del proprio apprendimento:</w:t>
      </w: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0"/>
          <w:tab w:val="left" w:leader="none" w:pos="707"/>
        </w:tabs>
        <w:spacing w:after="0" w:before="280" w:line="240" w:lineRule="auto"/>
        <w:ind w:left="4" w:right="0" w:hanging="4"/>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Lavoro autonomo e ricerca guidata</w:t>
      </w: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0"/>
          <w:tab w:val="left" w:leader="none" w:pos="707"/>
        </w:tabs>
        <w:spacing w:after="0" w:before="0" w:line="240" w:lineRule="auto"/>
        <w:ind w:left="4" w:right="0" w:hanging="4"/>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Apprendimento cooperativo e laboratori interdisciplinari</w:t>
      </w: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0"/>
          <w:tab w:val="left" w:leader="none" w:pos="707"/>
        </w:tabs>
        <w:spacing w:after="0" w:before="0" w:line="240" w:lineRule="auto"/>
        <w:ind w:left="4" w:right="0" w:hanging="4"/>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1"/>
          <w:iCs w:val="1"/>
          <w:smallCaps w:val="0"/>
          <w:strike w:val="0"/>
          <w:color w:val="000000"/>
          <w:sz w:val="24"/>
          <w:szCs w:val="24"/>
          <w:highlight w:val="white"/>
          <w:u w:val="none"/>
          <w:vertAlign w:val="baseline"/>
          <w:rtl w:val="0"/>
        </w:rPr>
        <w:t xml:space="preserve">- Scaffolding</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(supporto modulato)</w:t>
      </w: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0"/>
          <w:tab w:val="left" w:leader="none" w:pos="707"/>
        </w:tabs>
        <w:spacing w:after="0" w:before="0" w:line="240" w:lineRule="auto"/>
        <w:ind w:left="4" w:right="0" w:hanging="4"/>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1"/>
          <w:iCs w:val="1"/>
          <w:smallCaps w:val="0"/>
          <w:strike w:val="0"/>
          <w:color w:val="000000"/>
          <w:sz w:val="24"/>
          <w:szCs w:val="24"/>
          <w:highlight w:val="white"/>
          <w:u w:val="none"/>
          <w:vertAlign w:val="baseline"/>
          <w:rtl w:val="0"/>
        </w:rPr>
        <w:t xml:space="preserve">- Game-based learning </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e attività ludiche complesse</w:t>
      </w: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0"/>
          <w:tab w:val="left" w:leader="none" w:pos="707"/>
        </w:tabs>
        <w:spacing w:after="0" w:before="0" w:line="240" w:lineRule="auto"/>
        <w:ind w:left="4" w:right="0" w:hanging="4"/>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1"/>
          <w:iCs w:val="1"/>
          <w:smallCaps w:val="0"/>
          <w:strike w:val="0"/>
          <w:color w:val="000000"/>
          <w:sz w:val="24"/>
          <w:szCs w:val="24"/>
          <w:highlight w:val="white"/>
          <w:u w:val="none"/>
          <w:vertAlign w:val="baseline"/>
          <w:rtl w:val="0"/>
        </w:rPr>
        <w:t xml:space="preserve">- Debate</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w:t>
      </w:r>
      <w:r w:rsidDel="00000000" w:rsidR="00000000" w:rsidRPr="00000000">
        <w:rPr>
          <w:rFonts w:ascii="Liberation Serif" w:cs="Liberation Serif" w:eastAsia="Liberation Serif" w:hAnsi="Liberation Serif"/>
          <w:b w:val="0"/>
          <w:bCs w:val="0"/>
          <w:i w:val="1"/>
          <w:iCs w:val="1"/>
          <w:smallCaps w:val="0"/>
          <w:strike w:val="0"/>
          <w:color w:val="000000"/>
          <w:sz w:val="24"/>
          <w:szCs w:val="24"/>
          <w:highlight w:val="white"/>
          <w:u w:val="none"/>
          <w:vertAlign w:val="baseline"/>
          <w:rtl w:val="0"/>
        </w:rPr>
        <w:t xml:space="preserve">fishbowl </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e seminario socratico</w:t>
      </w: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0"/>
          <w:tab w:val="left" w:leader="none" w:pos="707"/>
        </w:tabs>
        <w:spacing w:after="280" w:before="0" w:line="240" w:lineRule="auto"/>
        <w:ind w:left="4" w:right="0" w:hanging="4"/>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Proposte di attività sfidanti, aperte e creative</w:t>
      </w: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280" w:before="280" w:line="288" w:lineRule="auto"/>
        <w:ind w:left="4" w:right="0" w:hanging="4"/>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bCs w:val="1"/>
          <w:i w:val="0"/>
          <w:iCs w:val="0"/>
          <w:smallCaps w:val="0"/>
          <w:strike w:val="0"/>
          <w:color w:val="000000"/>
          <w:sz w:val="28"/>
          <w:szCs w:val="28"/>
          <w:highlight w:val="white"/>
          <w:u w:val="none"/>
          <w:vertAlign w:val="baseline"/>
          <w:rtl w:val="0"/>
        </w:rPr>
        <w:t xml:space="preserve">7.3 Supporto Emotivo e Relazionale</w:t>
      </w: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280" w:before="28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Le strategie didattiche devono essere sempre accompagnate da una profonda attenzione alla dimensione emotivo-relazionale:</w:t>
      </w: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0"/>
          <w:tab w:val="left" w:leader="none" w:pos="707"/>
        </w:tabs>
        <w:spacing w:after="0" w:before="280" w:line="240" w:lineRule="auto"/>
        <w:ind w:left="628"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Garantire un supporto costante, accogliendo le emozioni intense e aiutando a gestire l'ipersensibilità.</w:t>
      </w: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0"/>
          <w:tab w:val="left" w:leader="none" w:pos="707"/>
        </w:tabs>
        <w:spacing w:after="0" w:before="0" w:line="240" w:lineRule="auto"/>
        <w:ind w:left="628"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Evitare etichette ("il genio") e paragoni con i compagni, che possono generare ansia da prestazione.</w:t>
      </w: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leader="none" w:pos="0"/>
          <w:tab w:val="left" w:leader="none" w:pos="707"/>
        </w:tabs>
        <w:spacing w:after="280" w:before="0" w:line="240" w:lineRule="auto"/>
        <w:ind w:left="628"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Utilizzare il </w:t>
      </w:r>
      <w:r w:rsidDel="00000000" w:rsidR="00000000" w:rsidRPr="00000000">
        <w:rPr>
          <w:rFonts w:ascii="Liberation Serif" w:cs="Liberation Serif" w:eastAsia="Liberation Serif" w:hAnsi="Liberation Serif"/>
          <w:b w:val="0"/>
          <w:bCs w:val="0"/>
          <w:i w:val="1"/>
          <w:iCs w:val="1"/>
          <w:smallCaps w:val="0"/>
          <w:strike w:val="0"/>
          <w:color w:val="000000"/>
          <w:sz w:val="24"/>
          <w:szCs w:val="24"/>
          <w:highlight w:val="white"/>
          <w:u w:val="none"/>
          <w:vertAlign w:val="baseline"/>
          <w:rtl w:val="0"/>
        </w:rPr>
        <w:t xml:space="preserve">peer tutoring</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solo in modo sporadico e occasionale, per non sovraccaricare lo studente </w:t>
      </w:r>
      <w:r w:rsidDel="00000000" w:rsidR="00000000" w:rsidRPr="00000000">
        <w:rPr>
          <w:rFonts w:ascii="Liberation Serif" w:cs="Liberation Serif" w:eastAsia="Liberation Serif" w:hAnsi="Liberation Serif"/>
          <w:b w:val="0"/>
          <w:bCs w:val="0"/>
          <w:i w:val="1"/>
          <w:iCs w:val="1"/>
          <w:smallCaps w:val="0"/>
          <w:strike w:val="0"/>
          <w:color w:val="000000"/>
          <w:sz w:val="24"/>
          <w:szCs w:val="24"/>
          <w:highlight w:val="white"/>
          <w:u w:val="none"/>
          <w:vertAlign w:val="baseline"/>
          <w:rtl w:val="0"/>
        </w:rPr>
        <w:t xml:space="preserve">gifted</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di responsabilità improprie.</w:t>
      </w: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La formalizzazione di queste strategie avviene attraverso la redazione del </w:t>
      </w: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Piano Didattico Personalizzato (PDP)</w:t>
      </w:r>
      <w:bookmarkStart w:colFirst="0" w:colLast="0" w:name="bookmark=id.ju7m17rejwmw" w:id="6"/>
      <w:bookmarkEnd w:id="6"/>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Il PDP non è un mero adempimento burocratico, ma lo strumento legale e pedagogico che sancisce il diritto dello studente a un percorso personalizzato e il dovere della scuola di realizzarlo, traducendo le strategie in impegni concreti e verificabili.</w:t>
      </w: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240" w:before="24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bCs w:val="1"/>
          <w:i w:val="0"/>
          <w:iCs w:val="0"/>
          <w:smallCaps w:val="0"/>
          <w:strike w:val="0"/>
          <w:color w:val="000000"/>
          <w:sz w:val="32"/>
          <w:szCs w:val="32"/>
          <w:highlight w:val="white"/>
          <w:u w:val="none"/>
          <w:vertAlign w:val="baseline"/>
          <w:rtl w:val="0"/>
        </w:rPr>
        <w:t xml:space="preserve">8. Implementare Monitoraggio e Valutazione</w:t>
      </w: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240" w:before="24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Definire criteri e strumenti per monitorare l'efficacia dell'intervento e valutare il raggiungimento degli obiettivi in fase iniziale, intermedia e finale.</w:t>
      </w: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240" w:before="240" w:line="240" w:lineRule="auto"/>
        <w:ind w:left="0" w:right="60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L’efficacia delle azioni previste è oggetto di </w:t>
      </w: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monitoraggio in itinere</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finalizzato a rilevare l’andamento del percorso, apportare eventuali adattamenti e documentare i progressi dell’alunno.</w:t>
      </w: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240" w:before="240" w:line="240" w:lineRule="auto"/>
        <w:ind w:left="0" w:right="60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Le modalità e gli strumenti di monitoraggio sono dettagliati nell’</w:t>
      </w: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Allegato D</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che costituisce parte integrante del presente Protocollo per la plusdotazione.</w:t>
      </w: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240" w:before="240" w:line="240" w:lineRule="auto"/>
        <w:ind w:left="0" w:right="60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La valutazione finale del percorso, in particolare per gli alunni con plusdotazione, avviene attraverso una </w:t>
      </w:r>
      <w:r w:rsidDel="00000000" w:rsidR="00000000" w:rsidRPr="00000000">
        <w:rPr>
          <w:rFonts w:ascii="Liberation Serif" w:cs="Liberation Serif" w:eastAsia="Liberation Serif" w:hAnsi="Liberation Serif"/>
          <w:b w:val="1"/>
          <w:bCs w:val="1"/>
          <w:i w:val="0"/>
          <w:iCs w:val="0"/>
          <w:smallCaps w:val="0"/>
          <w:strike w:val="0"/>
          <w:color w:val="000000"/>
          <w:sz w:val="24"/>
          <w:szCs w:val="24"/>
          <w:highlight w:val="white"/>
          <w:u w:val="none"/>
          <w:vertAlign w:val="baseline"/>
          <w:rtl w:val="0"/>
        </w:rPr>
        <w:t xml:space="preserve">rubrica di valutazione specifica</w:t>
      </w: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(Allegato E), che integra le rubriche di valutazione di istituto, valorizzando i processi di apprendimento avanzato, il pensiero divergente, la creatività e lo sviluppo del potenziale individuale.</w:t>
      </w: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240" w:before="240" w:line="240" w:lineRule="auto"/>
        <w:ind w:left="0" w:right="600" w:firstLine="0"/>
        <w:jc w:val="both"/>
        <w:rPr>
          <w:rFonts w:ascii="Liberation Serif" w:cs="Liberation Serif" w:eastAsia="Liberation Serif" w:hAnsi="Liberation Serif"/>
          <w:b w:val="0"/>
          <w:bCs w:val="0"/>
          <w:i w:val="0"/>
          <w:iCs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280" w:before="280" w:line="288"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bCs w:val="1"/>
          <w:i w:val="0"/>
          <w:iCs w:val="0"/>
          <w:smallCaps w:val="0"/>
          <w:strike w:val="0"/>
          <w:color w:val="000000"/>
          <w:sz w:val="32"/>
          <w:szCs w:val="32"/>
          <w:highlight w:val="white"/>
          <w:u w:val="none"/>
          <w:vertAlign w:val="baseline"/>
          <w:rtl w:val="0"/>
        </w:rPr>
        <w:t xml:space="preserve">9. Conclusioni: Un Dovere Etico ed Educativo</w:t>
      </w: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280" w:before="280" w:line="240"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Riconoscere, comprendere e sostenere gli alunni plusdotati non è soltanto un'opportunità per valorizzare un potenziale, ma un vero e proprio dovere etico ed educativo. La scuola può trasformarsi in un luogo di coltivazione delle eccellenze solo se è in grado di superare un approccio didattico standardizzato per adottare una visione realmente personalizzata, flessibile e attenta ai bisogni complessi di questi studenti. Riconoscere, comprendere e sostenere gli alunni con plusdotazione non è solo una possibilità educativa, ma un impegno fondamentale per garantire condizioni di apprendimento significative e una piena realizzazione personale. Per rispondere ai bisogni complessi di questi studenti, la scuola deve adottare un approccio didattico personalizzato, flessibile e attento alle differenze individuali, superando modelli standardizzati. Per tradurre questo impegno in pratica, è essenziale che il sistema scolastico:</w:t>
      </w: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72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investa in formazione specifica per il personale docente, affinché acquisisca strumenti e competenze per riconoscere e supportare gli alunni plusdotati; </w:t>
      </w: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72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 promuova la costruzione di reti collaborative tra scuole, famiglie, specialisti e servizi educativi, creando un contesto integrato e sinergico di intervento.</w:t>
      </w: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720" w:right="0" w:firstLine="0"/>
        <w:jc w:val="both"/>
        <w:rPr>
          <w:rFonts w:ascii="Liberation Serif" w:cs="Liberation Serif" w:eastAsia="Liberation Serif" w:hAnsi="Liberation Serif"/>
          <w:b w:val="0"/>
          <w:bCs w:val="0"/>
          <w:i w:val="0"/>
          <w:iCs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00" w:before="100" w:line="240" w:lineRule="auto"/>
        <w:ind w:left="0" w:right="0" w:firstLine="0"/>
        <w:jc w:val="both"/>
        <w:rPr>
          <w:rFonts w:ascii="Liberation Serif" w:cs="Liberation Serif" w:eastAsia="Liberation Serif" w:hAnsi="Liberation Serif"/>
          <w:b w:val="1"/>
          <w:bCs w:val="1"/>
          <w:i w:val="0"/>
          <w:iCs w:val="0"/>
          <w:smallCaps w:val="0"/>
          <w:strike w:val="0"/>
          <w:color w:val="000000"/>
          <w:sz w:val="32"/>
          <w:szCs w:val="32"/>
          <w:highlight w:val="white"/>
          <w:u w:val="none"/>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highlight w:val="white"/>
          <w:u w:val="none"/>
          <w:vertAlign w:val="baseline"/>
          <w:rtl w:val="0"/>
        </w:rPr>
        <w:t xml:space="preserve">Solo attraverso un’alleanza educativa coesa e consapevole, che valorizzi il contributo di ciascuna componente della comunità educativa, sarà possibile favorire il successo formativo, sostenere il benessere emotivo e psicologico e promuovere uno sviluppo armonico di ogni studente con plusdotazione, rispondendo in modo adeguato ai suoi specifici bisogni educativi.</w:t>
      </w: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280" w:before="280" w:line="288" w:lineRule="auto"/>
        <w:ind w:left="0" w:right="0" w:firstLine="0"/>
        <w:jc w:val="both"/>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bCs w:val="1"/>
          <w:i w:val="0"/>
          <w:iCs w:val="0"/>
          <w:smallCaps w:val="0"/>
          <w:strike w:val="0"/>
          <w:color w:val="000000"/>
          <w:sz w:val="32"/>
          <w:szCs w:val="32"/>
          <w:highlight w:val="white"/>
          <w:u w:val="none"/>
          <w:vertAlign w:val="baseline"/>
          <w:rtl w:val="0"/>
        </w:rPr>
        <w:t xml:space="preserve">10. Allegati</w:t>
      </w: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tl w:val="0"/>
        </w:rPr>
        <w:t xml:space="preserve">Allegato A </w:t>
      </w:r>
      <w:r w:rsidDel="00000000" w:rsidR="00000000" w:rsidRPr="00000000">
        <w:rPr>
          <w:rFonts w:ascii="Liberation Serif" w:cs="Liberation Serif" w:eastAsia="Liberation Serif" w:hAnsi="Liberation Serif"/>
          <w:b w:val="1"/>
          <w:bCs w:val="1"/>
          <w:i w:val="0"/>
          <w:iCs w:val="0"/>
          <w:smallCaps w:val="0"/>
          <w:strike w:val="0"/>
          <w:color w:val="000000"/>
          <w:sz w:val="24"/>
          <w:szCs w:val="24"/>
          <w:u w:val="none"/>
          <w:shd w:fill="auto" w:val="clear"/>
          <w:vertAlign w:val="baseline"/>
          <w:rtl w:val="0"/>
        </w:rPr>
        <w:t xml:space="preserve">Griglia di osservazione iniziale ( per discipline)</w:t>
      </w: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tl w:val="0"/>
        </w:rPr>
        <w:t xml:space="preserve">Allegato B </w:t>
      </w:r>
      <w:r w:rsidDel="00000000" w:rsidR="00000000" w:rsidRPr="00000000">
        <w:rPr>
          <w:rFonts w:ascii="Liberation Serif" w:cs="Liberation Serif" w:eastAsia="Liberation Serif" w:hAnsi="Liberation Serif"/>
          <w:b w:val="1"/>
          <w:bCs w:val="1"/>
          <w:i w:val="0"/>
          <w:iCs w:val="0"/>
          <w:smallCaps w:val="0"/>
          <w:strike w:val="0"/>
          <w:color w:val="000000"/>
          <w:sz w:val="24"/>
          <w:szCs w:val="24"/>
          <w:u w:val="none"/>
          <w:shd w:fill="auto" w:val="clear"/>
          <w:vertAlign w:val="baseline"/>
          <w:rtl w:val="0"/>
        </w:rPr>
        <w:t xml:space="preserve">Griglia di osservazione per l’individuazione di alunni con alto potenziale cognitivo</w:t>
      </w: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tl w:val="0"/>
        </w:rPr>
        <w:t xml:space="preserve">Allegato C </w:t>
      </w:r>
      <w:r w:rsidDel="00000000" w:rsidR="00000000" w:rsidRPr="00000000">
        <w:rPr>
          <w:rFonts w:ascii="Liberation Serif" w:cs="Liberation Serif" w:eastAsia="Liberation Serif" w:hAnsi="Liberation Serif"/>
          <w:b w:val="1"/>
          <w:bCs w:val="1"/>
          <w:i w:val="0"/>
          <w:iCs w:val="0"/>
          <w:smallCaps w:val="0"/>
          <w:strike w:val="0"/>
          <w:color w:val="000000"/>
          <w:sz w:val="24"/>
          <w:szCs w:val="24"/>
          <w:u w:val="none"/>
          <w:shd w:fill="auto" w:val="clear"/>
          <w:vertAlign w:val="baseline"/>
          <w:rtl w:val="0"/>
        </w:rPr>
        <w:t xml:space="preserve">Relazione di osservazione iniziale (Possibile Plusdotazione Cognitiva)</w:t>
      </w: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tl w:val="0"/>
        </w:rPr>
        <w:t xml:space="preserve">Allegato D </w:t>
      </w:r>
      <w:r w:rsidDel="00000000" w:rsidR="00000000" w:rsidRPr="00000000">
        <w:rPr>
          <w:rFonts w:ascii="Liberation Serif" w:cs="Liberation Serif" w:eastAsia="Liberation Serif" w:hAnsi="Liberation Serif"/>
          <w:b w:val="1"/>
          <w:bCs w:val="1"/>
          <w:i w:val="0"/>
          <w:iCs w:val="0"/>
          <w:smallCaps w:val="0"/>
          <w:strike w:val="0"/>
          <w:color w:val="000000"/>
          <w:sz w:val="24"/>
          <w:szCs w:val="24"/>
          <w:u w:val="none"/>
          <w:shd w:fill="auto" w:val="clear"/>
          <w:vertAlign w:val="baseline"/>
          <w:rtl w:val="0"/>
        </w:rPr>
        <w:t xml:space="preserve">Scheda di monitoraggio PDP- Alunno( con plusdotazione)</w:t>
      </w: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tl w:val="0"/>
        </w:rPr>
        <w:t xml:space="preserve">Allegato E </w:t>
      </w:r>
      <w:r w:rsidDel="00000000" w:rsidR="00000000" w:rsidRPr="00000000">
        <w:rPr>
          <w:rFonts w:ascii="Liberation Serif" w:cs="Liberation Serif" w:eastAsia="Liberation Serif" w:hAnsi="Liberation Serif"/>
          <w:b w:val="1"/>
          <w:bCs w:val="1"/>
          <w:i w:val="0"/>
          <w:iCs w:val="0"/>
          <w:smallCaps w:val="0"/>
          <w:strike w:val="0"/>
          <w:color w:val="000000"/>
          <w:sz w:val="24"/>
          <w:szCs w:val="24"/>
          <w:u w:val="none"/>
          <w:shd w:fill="auto" w:val="clear"/>
          <w:vertAlign w:val="baseline"/>
          <w:rtl w:val="0"/>
        </w:rPr>
        <w:t xml:space="preserve">Rubriche di valutazione per alunni con plusdotazione</w:t>
      </w:r>
      <w:r w:rsidDel="00000000" w:rsidR="00000000" w:rsidRPr="00000000">
        <w:rPr>
          <w:rtl w:val="0"/>
        </w:rPr>
      </w:r>
    </w:p>
    <w:sectPr>
      <w:headerReference r:id="rId10" w:type="default"/>
      <w:footerReference r:id="rId11" w:type="default"/>
      <w:footerReference r:id="rId12" w:type="first"/>
      <w:pgSz w:h="16838" w:w="11906" w:orient="portrait"/>
      <w:pgMar w:bottom="1134" w:top="1134" w:left="1134"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Calibri"/>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4">
    <w:pPr>
      <w:rP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 w:val="center" w:leader="none" w:pos="4153"/>
        <w:tab w:val="right" w:leader="none" w:pos="8306"/>
      </w:tabs>
      <w:spacing w:after="0" w:before="0" w:line="240" w:lineRule="auto"/>
      <w:ind w:left="0" w:right="0" w:firstLine="0"/>
      <w:jc w:val="center"/>
      <w:rPr>
        <w:rFonts w:ascii="Liberation Serif" w:cs="Liberation Serif" w:eastAsia="Liberation Serif" w:hAnsi="Liberation Serif"/>
        <w:b w:val="0"/>
        <w:bCs w:val="0"/>
        <w:i w:val="0"/>
        <w:iCs w:val="0"/>
        <w:smallCaps w:val="0"/>
        <w:strike w:val="0"/>
        <w:color w:val="000000"/>
        <w:u w:val="none"/>
        <w:shd w:fill="auto" w:val="clear"/>
        <w:vertAlign w:val="baseline"/>
      </w:rPr>
    </w:pPr>
    <w:r w:rsidDel="00000000" w:rsidR="00000000" w:rsidRPr="00000000">
      <w:rPr/>
      <w:fldChar w:fldCharType="begin"/>
      <w:instrText xml:space="preserve">PAGE</w:instrText>
      <w:fldChar w:fldCharType="separate"/>
      <w:fldChar w:fldCharType="end"/>
    </w:r>
    <w:r w:rsidDel="00000000" w:rsidR="00000000" w:rsidRPr="00000000">
      <w:rPr>
        <w:rtl w:val="0"/>
      </w:rPr>
    </w:r>
    <w:r w:rsidDel="00000000" w:rsidR="00000000" w:rsidRPr="00000000">
      <mc:AlternateContent>
        <mc:Choice Requires="wpg">
          <w:drawing>
            <wp:anchor allowOverlap="1" behindDoc="0" distB="0" distT="0" distL="114935" distR="114935" hidden="0" layoutInCell="1" locked="0" relativeHeight="0" simplePos="0">
              <wp:simplePos x="0" y="0"/>
              <wp:positionH relativeFrom="column">
                <wp:posOffset>3026093</wp:posOffset>
              </wp:positionH>
              <wp:positionV relativeFrom="paragraph">
                <wp:posOffset>318</wp:posOffset>
              </wp:positionV>
              <wp:extent cx="67945" cy="136525"/>
              <wp:effectExtent b="0" l="0" r="0" t="0"/>
              <wp:wrapNone/>
              <wp:docPr id="1026" name=""/>
              <a:graphic>
                <a:graphicData uri="http://schemas.microsoft.com/office/word/2010/wordprocessingShape">
                  <wps:wsp>
                    <wps:cNvSpPr/>
                    <wps:cNvPr id="2" name="Shape 2"/>
                    <wps:spPr>
                      <a:xfrm>
                        <a:off x="5316790" y="3716500"/>
                        <a:ext cx="58420" cy="127000"/>
                      </a:xfrm>
                      <a:prstGeom prst="rect">
                        <a:avLst/>
                      </a:prstGeom>
                      <a:solidFill>
                        <a:srgbClr val="FFFFFF">
                          <a:alpha val="0"/>
                        </a:srgbClr>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Liberation Serif" w:cs="Liberation Serif" w:eastAsia="Liberation Serif" w:hAnsi="Liberation Serif"/>
                              <w:b w:val="0"/>
                              <w:i w:val="0"/>
                              <w:smallCaps w:val="0"/>
                              <w:strike w:val="0"/>
                              <w:color w:val="000000"/>
                              <w:sz w:val="18"/>
                              <w:vertAlign w:val="baseline"/>
                            </w:rPr>
                            <w:t xml:space="preserve"> PAGE 7</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beration Serif" w:cs="Liberation Serif" w:eastAsia="Liberation Serif" w:hAnsi="Liberation Serif"/>
                              <w:b w:val="0"/>
                              <w:i w:val="0"/>
                              <w:smallCaps w:val="0"/>
                              <w:strike w:val="0"/>
                              <w:color w:val="000000"/>
                              <w:sz w:val="18"/>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935" distR="114935" hidden="0" layoutInCell="1" locked="0" relativeHeight="0" simplePos="0">
              <wp:simplePos x="0" y="0"/>
              <wp:positionH relativeFrom="column">
                <wp:posOffset>3026093</wp:posOffset>
              </wp:positionH>
              <wp:positionV relativeFrom="paragraph">
                <wp:posOffset>318</wp:posOffset>
              </wp:positionV>
              <wp:extent cx="67945" cy="136525"/>
              <wp:effectExtent b="0" l="0" r="0" t="0"/>
              <wp:wrapNone/>
              <wp:docPr id="1026"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67945" cy="13652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6">
    <w:pPr>
      <w:jc w:val="right"/>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120" w:before="240" w:line="240" w:lineRule="auto"/>
      <w:ind w:left="0" w:right="0" w:firstLine="0"/>
      <w:jc w:val="left"/>
    </w:pPr>
    <w:rPr>
      <w:rFonts w:ascii="Liberation Serif" w:cs="Liberation Serif" w:eastAsia="Liberation Serif" w:hAnsi="Liberation Serif"/>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120" w:before="200" w:line="240" w:lineRule="auto"/>
      <w:ind w:left="0" w:right="0" w:firstLine="0"/>
      <w:jc w:val="left"/>
    </w:pPr>
    <w:rPr>
      <w:rFonts w:ascii="Liberation Serif" w:cs="Liberation Serif" w:eastAsia="Liberation Serif" w:hAnsi="Liberation Serif"/>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120" w:before="140" w:line="240" w:lineRule="auto"/>
      <w:ind w:left="0" w:right="0" w:firstLine="0"/>
      <w:jc w:val="left"/>
    </w:pPr>
    <w:rPr>
      <w:rFonts w:ascii="Liberation Serif" w:cs="Liberation Serif" w:eastAsia="Liberation Serif" w:hAnsi="Liberation Serif"/>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40" w:before="240" w:line="240" w:lineRule="auto"/>
      <w:ind w:left="0" w:right="0" w:firstLine="0"/>
      <w:jc w:val="left"/>
    </w:pPr>
    <w:rPr>
      <w:rFonts w:ascii="Liberation Serif" w:cs="Liberation Serif" w:eastAsia="Liberation Serif" w:hAnsi="Liberation Serif"/>
      <w:b w:val="1"/>
      <w:bCs w:val="1"/>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40" w:before="220" w:line="240" w:lineRule="auto"/>
      <w:ind w:left="0" w:right="0" w:firstLine="0"/>
      <w:jc w:val="left"/>
    </w:pPr>
    <w:rPr>
      <w:rFonts w:ascii="Liberation Serif" w:cs="Liberation Serif" w:eastAsia="Liberation Serif" w:hAnsi="Liberation Serif"/>
      <w:b w:val="1"/>
      <w:bCs w:val="1"/>
      <w:i w:val="0"/>
      <w:iCs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40" w:before="200" w:line="240" w:lineRule="auto"/>
      <w:ind w:left="0" w:right="0" w:firstLine="0"/>
      <w:jc w:val="left"/>
    </w:pPr>
    <w:rPr>
      <w:rFonts w:ascii="Liberation Serif" w:cs="Liberation Serif" w:eastAsia="Liberation Serif" w:hAnsi="Liberation Serif"/>
      <w:b w:val="1"/>
      <w:bCs w:val="1"/>
      <w:i w:val="0"/>
      <w:iCs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Normal"/>
      <w:jc w:val="left"/>
      <w:tblCellMar>
        <w:top w:w="0.0" w:type="dxa"/>
        <w:left w:w="108.0" w:type="dxa"/>
        <w:bottom w:w="0.0" w:type="dxa"/>
        <w:right w:w="108.0" w:type="dxa"/>
      </w:tblCellMar>
    </w:tblPr>
  </w:style>
  <w:style w:type="paragraph" w:styleId="Titolo">
    <w:name w:val="Titolo"/>
    <w:basedOn w:val="LO-normal"/>
    <w:next w:val="BodyText"/>
    <w:autoRedefine w:val="0"/>
    <w:hidden w:val="0"/>
    <w:qFormat w:val="0"/>
    <w:pPr>
      <w:keepNext w:val="1"/>
      <w:widowControl w:val="1"/>
      <w:suppressAutoHyphens w:val="1"/>
      <w:bidi w:val="0"/>
      <w:spacing w:after="120" w:before="240" w:line="1" w:lineRule="atLeast"/>
      <w:ind w:leftChars="-1" w:rightChars="0" w:firstLineChars="-1"/>
      <w:jc w:val="left"/>
      <w:textDirection w:val="btLr"/>
      <w:textAlignment w:val="top"/>
      <w:outlineLvl w:val="0"/>
    </w:pPr>
    <w:rPr>
      <w:rFonts w:ascii="Liberation Sans" w:cs="Arial" w:eastAsia="Microsoft YaHei" w:hAnsi="Liberation Sans"/>
      <w:color w:val="auto"/>
      <w:w w:val="100"/>
      <w:kern w:val="2"/>
      <w:position w:val="0"/>
      <w:sz w:val="28"/>
      <w:szCs w:val="28"/>
      <w:effect w:val="none"/>
      <w:vertAlign w:val="baseline"/>
      <w:cs w:val="0"/>
      <w:em w:val="none"/>
      <w:lang w:bidi="hi-IN" w:eastAsia="zh-CN" w:val="it-IT"/>
    </w:rPr>
  </w:style>
  <w:style w:type="paragraph" w:styleId="LO-normal">
    <w:name w:val="LO-normal"/>
    <w:next w:val="LO-normal"/>
    <w:autoRedefine w:val="0"/>
    <w:hidden w:val="0"/>
    <w:qFormat w:val="0"/>
    <w:pPr>
      <w:widowControl w:val="1"/>
      <w:suppressAutoHyphens w:val="0"/>
      <w:bidi w:val="0"/>
      <w:spacing w:after="0" w:before="0" w:line="1" w:lineRule="atLeast"/>
      <w:ind w:leftChars="-1" w:rightChars="0" w:firstLineChars="-1"/>
      <w:jc w:val="left"/>
      <w:textDirection w:val="btLr"/>
      <w:textAlignment w:val="top"/>
      <w:outlineLvl w:val="0"/>
    </w:pPr>
    <w:rPr>
      <w:rFonts w:ascii="Liberation Serif" w:cs="Liberation Serif" w:eastAsia="Liberation Serif" w:hAnsi="Liberation Serif"/>
      <w:color w:val="auto"/>
      <w:w w:val="100"/>
      <w:kern w:val="0"/>
      <w:position w:val="-1"/>
      <w:sz w:val="24"/>
      <w:szCs w:val="24"/>
      <w:effect w:val="none"/>
      <w:vertAlign w:val="baseline"/>
      <w:cs w:val="0"/>
      <w:em w:val="none"/>
      <w:lang w:bidi="hi-IN" w:eastAsia="zh-CN" w:val="und"/>
    </w:rPr>
  </w:style>
  <w:style w:type="paragraph" w:styleId="BodyText">
    <w:name w:val="Body Text"/>
    <w:basedOn w:val="LO-normal"/>
    <w:next w:val="BodyText"/>
    <w:autoRedefine w:val="0"/>
    <w:hidden w:val="0"/>
    <w:qFormat w:val="0"/>
    <w:pPr>
      <w:widowControl w:val="1"/>
      <w:suppressAutoHyphens w:val="1"/>
      <w:bidi w:val="0"/>
      <w:spacing w:after="140" w:before="0" w:line="276" w:lineRule="auto"/>
      <w:ind w:leftChars="-1" w:rightChars="0" w:firstLineChars="-1"/>
      <w:jc w:val="left"/>
      <w:textDirection w:val="btLr"/>
      <w:textAlignment w:val="top"/>
      <w:outlineLvl w:val="0"/>
    </w:pPr>
    <w:rPr>
      <w:rFonts w:ascii="Liberation Serif" w:cs="Arial" w:eastAsia="NSimSun" w:hAnsi="Liberation Serif"/>
      <w:color w:val="auto"/>
      <w:w w:val="100"/>
      <w:kern w:val="2"/>
      <w:position w:val="0"/>
      <w:sz w:val="24"/>
      <w:szCs w:val="24"/>
      <w:effect w:val="none"/>
      <w:vertAlign w:val="baseline"/>
      <w:cs w:val="0"/>
      <w:em w:val="none"/>
      <w:lang w:bidi="hi-IN" w:eastAsia="zh-CN" w:val="it-IT"/>
    </w:rPr>
  </w:style>
  <w:style w:type="paragraph" w:styleId="Caption">
    <w:name w:val="Caption"/>
    <w:basedOn w:val="Normal"/>
    <w:next w:val="Caption"/>
    <w:autoRedefine w:val="0"/>
    <w:hidden w:val="0"/>
    <w:qFormat w:val="0"/>
    <w:pPr>
      <w:widowControl w:val="1"/>
      <w:suppressLineNumbers w:val="1"/>
      <w:suppressAutoHyphens w:val="0"/>
      <w:bidi w:val="0"/>
      <w:spacing w:after="120" w:before="120" w:line="1" w:lineRule="atLeast"/>
      <w:ind w:leftChars="-1" w:rightChars="0" w:firstLineChars="-1"/>
      <w:jc w:val="left"/>
      <w:textDirection w:val="btLr"/>
      <w:textAlignment w:val="top"/>
      <w:outlineLvl w:val="0"/>
    </w:pPr>
    <w:rPr>
      <w:rFonts w:ascii="Liberation Serif" w:cs="Arial" w:eastAsia="Liberation Serif" w:hAnsi="Liberation Serif"/>
      <w:i w:val="1"/>
      <w:iCs w:val="1"/>
      <w:color w:val="auto"/>
      <w:w w:val="100"/>
      <w:kern w:val="0"/>
      <w:position w:val="-1"/>
      <w:sz w:val="24"/>
      <w:szCs w:val="24"/>
      <w:effect w:val="none"/>
      <w:vertAlign w:val="baseline"/>
      <w:cs w:val="0"/>
      <w:em w:val="none"/>
      <w:lang w:bidi="hi-IN" w:eastAsia="zh-CN" w:val="und"/>
    </w:rPr>
  </w:style>
  <w:style w:type="character" w:styleId="Emphasis">
    <w:name w:val="Emphasis"/>
    <w:basedOn w:val="DefaultParagraphFont1"/>
    <w:next w:val="Emphasis"/>
    <w:autoRedefine w:val="0"/>
    <w:hidden w:val="0"/>
    <w:qFormat w:val="0"/>
    <w:rPr>
      <w:rStyle w:val="DefaultParagraphFont1"/>
      <w:i w:val="1"/>
      <w:iCs w:val="1"/>
      <w:w w:val="100"/>
      <w:position w:val="0"/>
      <w:sz w:val="24"/>
      <w:effect w:val="none"/>
      <w:vertAlign w:val="baseline"/>
      <w:cs w:val="0"/>
      <w:em w:val="none"/>
      <w:lang/>
    </w:rPr>
  </w:style>
  <w:style w:type="character" w:styleId="DefaultParagraphFont1">
    <w:name w:val="Default Paragraph Font1"/>
    <w:next w:val="DefaultParagraphFont1"/>
    <w:autoRedefine w:val="0"/>
    <w:hidden w:val="0"/>
    <w:qFormat w:val="0"/>
    <w:rPr>
      <w:w w:val="100"/>
      <w:position w:val="0"/>
      <w:sz w:val="24"/>
      <w:effect w:val="none"/>
      <w:vertAlign w:val="baseline"/>
      <w:cs w:val="0"/>
      <w:em w:val="none"/>
      <w:lang/>
    </w:rPr>
  </w:style>
  <w:style w:type="paragraph" w:styleId="Footer">
    <w:name w:val="Footer"/>
    <w:basedOn w:val="Normal"/>
    <w:next w:val="Footer"/>
    <w:autoRedefine w:val="0"/>
    <w:hidden w:val="0"/>
    <w:qFormat w:val="0"/>
    <w:pPr>
      <w:widowControl w:val="1"/>
      <w:tabs>
        <w:tab w:val="center" w:leader="none" w:pos="4153"/>
        <w:tab w:val="right" w:leader="none" w:pos="8306"/>
      </w:tabs>
      <w:suppressAutoHyphens w:val="0"/>
      <w:bidi w:val="0"/>
      <w:spacing w:after="0" w:before="0" w:line="1" w:lineRule="atLeast"/>
      <w:ind w:leftChars="-1" w:rightChars="0" w:firstLineChars="-1"/>
      <w:jc w:val="left"/>
      <w:textDirection w:val="btLr"/>
      <w:textAlignment w:val="top"/>
      <w:outlineLvl w:val="0"/>
    </w:pPr>
    <w:rPr>
      <w:rFonts w:ascii="Liberation Serif" w:cs="Liberation Serif" w:eastAsia="Liberation Serif" w:hAnsi="Liberation Serif"/>
      <w:color w:val="auto"/>
      <w:w w:val="100"/>
      <w:kern w:val="0"/>
      <w:position w:val="-1"/>
      <w:sz w:val="18"/>
      <w:szCs w:val="18"/>
      <w:effect w:val="none"/>
      <w:vertAlign w:val="baseline"/>
      <w:cs w:val="0"/>
      <w:em w:val="none"/>
      <w:lang w:bidi="hi-IN" w:eastAsia="zh-CN" w:val="und"/>
    </w:rPr>
  </w:style>
  <w:style w:type="paragraph" w:styleId="Header">
    <w:name w:val="Header"/>
    <w:basedOn w:val="Normal"/>
    <w:next w:val="Header"/>
    <w:autoRedefine w:val="0"/>
    <w:hidden w:val="0"/>
    <w:qFormat w:val="0"/>
    <w:pPr>
      <w:widowControl w:val="1"/>
      <w:tabs>
        <w:tab w:val="center" w:leader="none" w:pos="4153"/>
        <w:tab w:val="right" w:leader="none" w:pos="8306"/>
      </w:tabs>
      <w:suppressAutoHyphens w:val="0"/>
      <w:bidi w:val="0"/>
      <w:spacing w:after="0" w:before="0" w:line="1" w:lineRule="atLeast"/>
      <w:ind w:leftChars="-1" w:rightChars="0" w:firstLineChars="-1"/>
      <w:jc w:val="left"/>
      <w:textDirection w:val="btLr"/>
      <w:textAlignment w:val="top"/>
      <w:outlineLvl w:val="0"/>
    </w:pPr>
    <w:rPr>
      <w:rFonts w:ascii="Liberation Serif" w:cs="Liberation Serif" w:eastAsia="Liberation Serif" w:hAnsi="Liberation Serif"/>
      <w:color w:val="auto"/>
      <w:w w:val="100"/>
      <w:kern w:val="0"/>
      <w:position w:val="-1"/>
      <w:sz w:val="18"/>
      <w:szCs w:val="18"/>
      <w:effect w:val="none"/>
      <w:vertAlign w:val="baseline"/>
      <w:cs w:val="0"/>
      <w:em w:val="none"/>
      <w:lang w:bidi="hi-IN" w:eastAsia="zh-CN" w:val="und"/>
    </w:rPr>
  </w:style>
  <w:style w:type="character" w:styleId="Hyperlink">
    <w:name w:val="Hyperlink"/>
    <w:basedOn w:val="DefaultParagraphFont1"/>
    <w:next w:val="Hyperlink"/>
    <w:autoRedefine w:val="0"/>
    <w:hidden w:val="0"/>
    <w:qFormat w:val="0"/>
    <w:rPr>
      <w:rStyle w:val="DefaultParagraphFont1"/>
      <w:color w:val="0000ff"/>
      <w:w w:val="100"/>
      <w:position w:val="0"/>
      <w:sz w:val="24"/>
      <w:u w:val="single"/>
      <w:effect w:val="none"/>
      <w:vertAlign w:val="baseline"/>
      <w:cs w:val="0"/>
      <w:em w:val="none"/>
      <w:lang/>
    </w:rPr>
  </w:style>
  <w:style w:type="paragraph" w:styleId="List">
    <w:name w:val="List"/>
    <w:basedOn w:val="BodyText"/>
    <w:next w:val="List"/>
    <w:autoRedefine w:val="0"/>
    <w:hidden w:val="0"/>
    <w:qFormat w:val="0"/>
    <w:pPr>
      <w:widowControl w:val="1"/>
      <w:suppressAutoHyphens w:val="1"/>
      <w:bidi w:val="0"/>
      <w:spacing w:after="140" w:before="0" w:line="276" w:lineRule="auto"/>
      <w:ind w:leftChars="-1" w:rightChars="0" w:firstLineChars="-1"/>
      <w:jc w:val="left"/>
      <w:textDirection w:val="btLr"/>
      <w:textAlignment w:val="top"/>
      <w:outlineLvl w:val="0"/>
    </w:pPr>
    <w:rPr>
      <w:rFonts w:ascii="Liberation Serif" w:cs="Arial" w:eastAsia="NSimSun" w:hAnsi="Liberation Serif"/>
      <w:color w:val="auto"/>
      <w:w w:val="100"/>
      <w:kern w:val="2"/>
      <w:position w:val="0"/>
      <w:sz w:val="24"/>
      <w:szCs w:val="24"/>
      <w:effect w:val="none"/>
      <w:vertAlign w:val="baseline"/>
      <w:cs w:val="0"/>
      <w:em w:val="none"/>
      <w:lang w:bidi="hi-IN" w:eastAsia="zh-CN" w:val="it-IT"/>
    </w:rPr>
  </w:style>
  <w:style w:type="character" w:styleId="Strong">
    <w:name w:val="Strong"/>
    <w:next w:val="Strong"/>
    <w:autoRedefine w:val="0"/>
    <w:hidden w:val="0"/>
    <w:qFormat w:val="0"/>
    <w:rPr>
      <w:b w:val="1"/>
      <w:bCs w:val="1"/>
      <w:w w:val="100"/>
      <w:position w:val="0"/>
      <w:sz w:val="24"/>
      <w:effect w:val="none"/>
      <w:vertAlign w:val="baseline"/>
      <w:cs w:val="0"/>
      <w:em w:val="none"/>
      <w:lang/>
    </w:rPr>
  </w:style>
  <w:style w:type="character" w:styleId="WW8Num1z0">
    <w:name w:val="WW8Num1z0"/>
    <w:next w:val="WW8Num1z0"/>
    <w:autoRedefine w:val="0"/>
    <w:hidden w:val="0"/>
    <w:qFormat w:val="0"/>
    <w:rPr>
      <w:rFonts w:ascii="Noto Sans Symbols" w:cs="Noto Sans Symbols" w:eastAsia="Liberation Serif" w:hAnsi="Noto Sans Symbols" w:hint="default"/>
      <w:b w:val="0"/>
      <w:bCs w:val="0"/>
      <w:i w:val="0"/>
      <w:iCs w:val="0"/>
      <w:caps w:val="0"/>
      <w:smallCaps w:val="0"/>
      <w:strike w:val="0"/>
      <w:dstrike w:val="0"/>
      <w:color w:val="000000"/>
      <w:w w:val="100"/>
      <w:position w:val="-1"/>
      <w:sz w:val="24"/>
      <w:szCs w:val="24"/>
      <w:highlight w:val="white"/>
      <w:effect w:val="none"/>
      <w:vertAlign w:val="baseline"/>
      <w:cs w:val="0"/>
      <w:em w:val="none"/>
      <w:lang/>
    </w:rPr>
  </w:style>
  <w:style w:type="character" w:styleId="WW8Num2z0">
    <w:name w:val="WW8Num2z0"/>
    <w:next w:val="WW8Num2z0"/>
    <w:autoRedefine w:val="0"/>
    <w:hidden w:val="0"/>
    <w:qFormat w:val="0"/>
    <w:rPr>
      <w:w w:val="100"/>
      <w:position w:val="-1"/>
      <w:effect w:val="none"/>
      <w:vertAlign w:val="baseline"/>
      <w:cs w:val="0"/>
      <w:em w:val="none"/>
      <w:lang/>
    </w:rPr>
  </w:style>
  <w:style w:type="character" w:styleId="WW8Num3z0">
    <w:name w:val="WW8Num3z0"/>
    <w:next w:val="WW8Num3z0"/>
    <w:autoRedefine w:val="0"/>
    <w:hidden w:val="0"/>
    <w:qFormat w:val="0"/>
    <w:rPr>
      <w:w w:val="100"/>
      <w:position w:val="-1"/>
      <w:effect w:val="none"/>
      <w:vertAlign w:val="baseline"/>
      <w:cs w:val="0"/>
      <w:em w:val="none"/>
      <w:lang/>
    </w:rPr>
  </w:style>
  <w:style w:type="character" w:styleId="DefaultParagraphFont11">
    <w:name w:val="Default Paragraph Font11"/>
    <w:next w:val="DefaultParagraphFont11"/>
    <w:autoRedefine w:val="0"/>
    <w:hidden w:val="0"/>
    <w:qFormat w:val="0"/>
    <w:rPr>
      <w:w w:val="100"/>
      <w:position w:val="-1"/>
      <w:effect w:val="none"/>
      <w:vertAlign w:val="baseline"/>
      <w:cs w:val="0"/>
      <w:em w:val="none"/>
      <w:lang/>
    </w:rPr>
  </w:style>
  <w:style w:type="character" w:styleId="WW8Num1z1">
    <w:name w:val="WW8Num1z1"/>
    <w:next w:val="WW8Num1z1"/>
    <w:autoRedefine w:val="0"/>
    <w:hidden w:val="0"/>
    <w:qFormat w:val="0"/>
    <w:rPr>
      <w:w w:val="100"/>
      <w:position w:val="0"/>
      <w:sz w:val="24"/>
      <w:effect w:val="none"/>
      <w:vertAlign w:val="baseline"/>
      <w:cs w:val="0"/>
      <w:em w:val="none"/>
      <w:lang/>
    </w:rPr>
  </w:style>
  <w:style w:type="character" w:styleId="WW8Num1z2">
    <w:name w:val="WW8Num1z2"/>
    <w:next w:val="WW8Num1z2"/>
    <w:autoRedefine w:val="0"/>
    <w:hidden w:val="0"/>
    <w:qFormat w:val="0"/>
    <w:rPr>
      <w:w w:val="100"/>
      <w:position w:val="0"/>
      <w:sz w:val="24"/>
      <w:effect w:val="none"/>
      <w:vertAlign w:val="baseline"/>
      <w:cs w:val="0"/>
      <w:em w:val="none"/>
      <w:lang/>
    </w:rPr>
  </w:style>
  <w:style w:type="character" w:styleId="WW8Num1z3">
    <w:name w:val="WW8Num1z3"/>
    <w:next w:val="WW8Num1z3"/>
    <w:autoRedefine w:val="0"/>
    <w:hidden w:val="0"/>
    <w:qFormat w:val="0"/>
    <w:rPr>
      <w:w w:val="100"/>
      <w:position w:val="0"/>
      <w:sz w:val="24"/>
      <w:effect w:val="none"/>
      <w:vertAlign w:val="baseline"/>
      <w:cs w:val="0"/>
      <w:em w:val="none"/>
      <w:lang/>
    </w:rPr>
  </w:style>
  <w:style w:type="character" w:styleId="WW8Num1z4">
    <w:name w:val="WW8Num1z4"/>
    <w:next w:val="WW8Num1z4"/>
    <w:autoRedefine w:val="0"/>
    <w:hidden w:val="0"/>
    <w:qFormat w:val="0"/>
    <w:rPr>
      <w:w w:val="100"/>
      <w:position w:val="0"/>
      <w:sz w:val="24"/>
      <w:effect w:val="none"/>
      <w:vertAlign w:val="baseline"/>
      <w:cs w:val="0"/>
      <w:em w:val="none"/>
      <w:lang/>
    </w:rPr>
  </w:style>
  <w:style w:type="character" w:styleId="WW8Num1z5">
    <w:name w:val="WW8Num1z5"/>
    <w:next w:val="WW8Num1z5"/>
    <w:autoRedefine w:val="0"/>
    <w:hidden w:val="0"/>
    <w:qFormat w:val="0"/>
    <w:rPr>
      <w:w w:val="100"/>
      <w:position w:val="0"/>
      <w:sz w:val="24"/>
      <w:effect w:val="none"/>
      <w:vertAlign w:val="baseline"/>
      <w:cs w:val="0"/>
      <w:em w:val="none"/>
      <w:lang/>
    </w:rPr>
  </w:style>
  <w:style w:type="character" w:styleId="WW8Num1z6">
    <w:name w:val="WW8Num1z6"/>
    <w:next w:val="WW8Num1z6"/>
    <w:autoRedefine w:val="0"/>
    <w:hidden w:val="0"/>
    <w:qFormat w:val="0"/>
    <w:rPr>
      <w:w w:val="100"/>
      <w:position w:val="0"/>
      <w:sz w:val="24"/>
      <w:effect w:val="none"/>
      <w:vertAlign w:val="baseline"/>
      <w:cs w:val="0"/>
      <w:em w:val="none"/>
      <w:lang/>
    </w:rPr>
  </w:style>
  <w:style w:type="character" w:styleId="WW8Num1z7">
    <w:name w:val="WW8Num1z7"/>
    <w:next w:val="WW8Num1z7"/>
    <w:autoRedefine w:val="0"/>
    <w:hidden w:val="0"/>
    <w:qFormat w:val="0"/>
    <w:rPr>
      <w:w w:val="100"/>
      <w:position w:val="0"/>
      <w:sz w:val="24"/>
      <w:effect w:val="none"/>
      <w:vertAlign w:val="baseline"/>
      <w:cs w:val="0"/>
      <w:em w:val="none"/>
      <w:lang/>
    </w:rPr>
  </w:style>
  <w:style w:type="character" w:styleId="WW8Num1z8">
    <w:name w:val="WW8Num1z8"/>
    <w:next w:val="WW8Num1z8"/>
    <w:autoRedefine w:val="0"/>
    <w:hidden w:val="0"/>
    <w:qFormat w:val="0"/>
    <w:rPr>
      <w:w w:val="100"/>
      <w:position w:val="0"/>
      <w:sz w:val="24"/>
      <w:effect w:val="none"/>
      <w:vertAlign w:val="baseline"/>
      <w:cs w:val="0"/>
      <w:em w:val="none"/>
      <w:lang/>
    </w:rPr>
  </w:style>
  <w:style w:type="character" w:styleId="WW8Num4z0">
    <w:name w:val="WW8Num4z0"/>
    <w:next w:val="WW8Num4z0"/>
    <w:autoRedefine w:val="0"/>
    <w:hidden w:val="0"/>
    <w:qFormat w:val="0"/>
    <w:rPr>
      <w:rFonts w:ascii="Symbol" w:cs="OpenSymbol" w:hAnsi="Symbol"/>
      <w:caps w:val="0"/>
      <w:smallCaps w:val="0"/>
      <w:strike w:val="0"/>
      <w:dstrike w:val="0"/>
      <w:color w:val="000000"/>
      <w:w w:val="100"/>
      <w:position w:val="0"/>
      <w:sz w:val="24"/>
      <w:highlight w:val="white"/>
      <w:effect w:val="none"/>
      <w:vertAlign w:val="baseline"/>
      <w:cs w:val="0"/>
      <w:em w:val="none"/>
      <w:lang/>
    </w:rPr>
  </w:style>
  <w:style w:type="character" w:styleId="WW8Num5z0">
    <w:name w:val="WW8Num5z0"/>
    <w:next w:val="WW8Num5z0"/>
    <w:autoRedefine w:val="0"/>
    <w:hidden w:val="0"/>
    <w:qFormat w:val="0"/>
    <w:rPr>
      <w:rFonts w:ascii="Symbol" w:cs="OpenSymbol" w:hAnsi="Symbol"/>
      <w:w w:val="100"/>
      <w:position w:val="0"/>
      <w:sz w:val="24"/>
      <w:effect w:val="none"/>
      <w:vertAlign w:val="baseline"/>
      <w:cs w:val="0"/>
      <w:em w:val="none"/>
      <w:lang/>
    </w:rPr>
  </w:style>
  <w:style w:type="character" w:styleId="WW8Num6z0">
    <w:name w:val="WW8Num6z0"/>
    <w:next w:val="WW8Num6z0"/>
    <w:autoRedefine w:val="0"/>
    <w:hidden w:val="0"/>
    <w:qFormat w:val="0"/>
    <w:rPr>
      <w:rFonts w:ascii="Symbol" w:cs="OpenSymbol" w:hAnsi="Symbol"/>
      <w:w w:val="100"/>
      <w:position w:val="0"/>
      <w:sz w:val="24"/>
      <w:effect w:val="none"/>
      <w:vertAlign w:val="baseline"/>
      <w:cs w:val="0"/>
      <w:em w:val="none"/>
      <w:lang/>
    </w:rPr>
  </w:style>
  <w:style w:type="character" w:styleId="WW8Num7z0">
    <w:name w:val="WW8Num7z0"/>
    <w:next w:val="WW8Num7z0"/>
    <w:autoRedefine w:val="0"/>
    <w:hidden w:val="0"/>
    <w:qFormat w:val="0"/>
    <w:rPr>
      <w:rFonts w:ascii="Symbol" w:cs="OpenSymbol" w:hAnsi="Symbol"/>
      <w:caps w:val="0"/>
      <w:smallCaps w:val="0"/>
      <w:strike w:val="0"/>
      <w:dstrike w:val="0"/>
      <w:color w:val="000000"/>
      <w:w w:val="100"/>
      <w:position w:val="0"/>
      <w:sz w:val="24"/>
      <w:highlight w:val="white"/>
      <w:effect w:val="none"/>
      <w:vertAlign w:val="baseline"/>
      <w:cs w:val="0"/>
      <w:em w:val="none"/>
      <w:lang/>
    </w:rPr>
  </w:style>
  <w:style w:type="character" w:styleId="WW8Num8z0">
    <w:name w:val="WW8Num8z0"/>
    <w:next w:val="WW8Num8z0"/>
    <w:autoRedefine w:val="0"/>
    <w:hidden w:val="0"/>
    <w:qFormat w:val="0"/>
    <w:rPr>
      <w:rFonts w:ascii="Symbol" w:cs="OpenSymbol" w:hAnsi="Symbol"/>
      <w:caps w:val="0"/>
      <w:smallCaps w:val="0"/>
      <w:strike w:val="0"/>
      <w:dstrike w:val="0"/>
      <w:color w:val="000000"/>
      <w:w w:val="100"/>
      <w:position w:val="0"/>
      <w:sz w:val="24"/>
      <w:highlight w:val="white"/>
      <w:effect w:val="none"/>
      <w:vertAlign w:val="baseline"/>
      <w:cs w:val="0"/>
      <w:em w:val="none"/>
      <w:lang/>
    </w:rPr>
  </w:style>
  <w:style w:type="character" w:styleId="WW8Num9z0">
    <w:name w:val="WW8Num9z0"/>
    <w:next w:val="WW8Num9z0"/>
    <w:autoRedefine w:val="0"/>
    <w:hidden w:val="0"/>
    <w:qFormat w:val="0"/>
    <w:rPr>
      <w:rFonts w:ascii="Symbol" w:cs="OpenSymbol" w:hAnsi="Symbol"/>
      <w:caps w:val="0"/>
      <w:smallCaps w:val="0"/>
      <w:strike w:val="0"/>
      <w:dstrike w:val="0"/>
      <w:color w:val="000000"/>
      <w:w w:val="100"/>
      <w:position w:val="0"/>
      <w:sz w:val="24"/>
      <w:highlight w:val="white"/>
      <w:effect w:val="none"/>
      <w:vertAlign w:val="baseline"/>
      <w:cs w:val="0"/>
      <w:em w:val="none"/>
      <w:lang/>
    </w:rPr>
  </w:style>
  <w:style w:type="character" w:styleId="WW8Num10z0">
    <w:name w:val="WW8Num10z0"/>
    <w:next w:val="WW8Num10z0"/>
    <w:autoRedefine w:val="0"/>
    <w:hidden w:val="0"/>
    <w:qFormat w:val="0"/>
    <w:rPr>
      <w:w w:val="100"/>
      <w:position w:val="0"/>
      <w:sz w:val="24"/>
      <w:szCs w:val="24"/>
      <w:effect w:val="none"/>
      <w:vertAlign w:val="baseline"/>
      <w:cs w:val="0"/>
      <w:em w:val="none"/>
      <w:lang/>
    </w:rPr>
  </w:style>
  <w:style w:type="character" w:styleId="WW8Num7z1">
    <w:name w:val="WW8Num7z1"/>
    <w:next w:val="WW8Num7z1"/>
    <w:autoRedefine w:val="0"/>
    <w:hidden w:val="0"/>
    <w:qFormat w:val="0"/>
    <w:rPr>
      <w:w w:val="100"/>
      <w:position w:val="0"/>
      <w:sz w:val="24"/>
      <w:effect w:val="none"/>
      <w:vertAlign w:val="baseline"/>
      <w:cs w:val="0"/>
      <w:em w:val="none"/>
      <w:lang/>
    </w:rPr>
  </w:style>
  <w:style w:type="character" w:styleId="WW8Num7z2">
    <w:name w:val="WW8Num7z2"/>
    <w:next w:val="WW8Num7z2"/>
    <w:autoRedefine w:val="0"/>
    <w:hidden w:val="0"/>
    <w:qFormat w:val="0"/>
    <w:rPr>
      <w:w w:val="100"/>
      <w:position w:val="0"/>
      <w:sz w:val="24"/>
      <w:effect w:val="none"/>
      <w:vertAlign w:val="baseline"/>
      <w:cs w:val="0"/>
      <w:em w:val="none"/>
      <w:lang/>
    </w:rPr>
  </w:style>
  <w:style w:type="character" w:styleId="WW8Num7z3">
    <w:name w:val="WW8Num7z3"/>
    <w:next w:val="WW8Num7z3"/>
    <w:autoRedefine w:val="0"/>
    <w:hidden w:val="0"/>
    <w:qFormat w:val="0"/>
    <w:rPr>
      <w:w w:val="100"/>
      <w:position w:val="0"/>
      <w:sz w:val="24"/>
      <w:effect w:val="none"/>
      <w:vertAlign w:val="baseline"/>
      <w:cs w:val="0"/>
      <w:em w:val="none"/>
      <w:lang/>
    </w:rPr>
  </w:style>
  <w:style w:type="character" w:styleId="WW8Num7z4">
    <w:name w:val="WW8Num7z4"/>
    <w:next w:val="WW8Num7z4"/>
    <w:autoRedefine w:val="0"/>
    <w:hidden w:val="0"/>
    <w:qFormat w:val="0"/>
    <w:rPr>
      <w:w w:val="100"/>
      <w:position w:val="0"/>
      <w:sz w:val="24"/>
      <w:effect w:val="none"/>
      <w:vertAlign w:val="baseline"/>
      <w:cs w:val="0"/>
      <w:em w:val="none"/>
      <w:lang/>
    </w:rPr>
  </w:style>
  <w:style w:type="character" w:styleId="WW8Num7z5">
    <w:name w:val="WW8Num7z5"/>
    <w:next w:val="WW8Num7z5"/>
    <w:autoRedefine w:val="0"/>
    <w:hidden w:val="0"/>
    <w:qFormat w:val="0"/>
    <w:rPr>
      <w:w w:val="100"/>
      <w:position w:val="0"/>
      <w:sz w:val="24"/>
      <w:effect w:val="none"/>
      <w:vertAlign w:val="baseline"/>
      <w:cs w:val="0"/>
      <w:em w:val="none"/>
      <w:lang/>
    </w:rPr>
  </w:style>
  <w:style w:type="character" w:styleId="WW8Num7z6">
    <w:name w:val="WW8Num7z6"/>
    <w:next w:val="WW8Num7z6"/>
    <w:autoRedefine w:val="0"/>
    <w:hidden w:val="0"/>
    <w:qFormat w:val="0"/>
    <w:rPr>
      <w:w w:val="100"/>
      <w:position w:val="0"/>
      <w:sz w:val="24"/>
      <w:effect w:val="none"/>
      <w:vertAlign w:val="baseline"/>
      <w:cs w:val="0"/>
      <w:em w:val="none"/>
      <w:lang/>
    </w:rPr>
  </w:style>
  <w:style w:type="character" w:styleId="WW8Num7z7">
    <w:name w:val="WW8Num7z7"/>
    <w:next w:val="WW8Num7z7"/>
    <w:autoRedefine w:val="0"/>
    <w:hidden w:val="0"/>
    <w:qFormat w:val="0"/>
    <w:rPr>
      <w:w w:val="100"/>
      <w:position w:val="0"/>
      <w:sz w:val="24"/>
      <w:effect w:val="none"/>
      <w:vertAlign w:val="baseline"/>
      <w:cs w:val="0"/>
      <w:em w:val="none"/>
      <w:lang/>
    </w:rPr>
  </w:style>
  <w:style w:type="character" w:styleId="WW8Num7z8">
    <w:name w:val="WW8Num7z8"/>
    <w:next w:val="WW8Num7z8"/>
    <w:autoRedefine w:val="0"/>
    <w:hidden w:val="0"/>
    <w:qFormat w:val="0"/>
    <w:rPr>
      <w:w w:val="100"/>
      <w:position w:val="0"/>
      <w:sz w:val="24"/>
      <w:effect w:val="none"/>
      <w:vertAlign w:val="baseline"/>
      <w:cs w:val="0"/>
      <w:em w:val="none"/>
      <w:lang/>
    </w:rPr>
  </w:style>
  <w:style w:type="character" w:styleId="Punti">
    <w:name w:val="Punti"/>
    <w:next w:val="Punti"/>
    <w:autoRedefine w:val="0"/>
    <w:hidden w:val="0"/>
    <w:qFormat w:val="0"/>
    <w:rPr>
      <w:rFonts w:ascii="OpenSymbol" w:cs="OpenSymbol" w:eastAsia="OpenSymbol" w:hAnsi="OpenSymbol"/>
      <w:w w:val="100"/>
      <w:position w:val="0"/>
      <w:sz w:val="24"/>
      <w:effect w:val="none"/>
      <w:vertAlign w:val="baseline"/>
      <w:cs w:val="0"/>
      <w:em w:val="none"/>
      <w:lang/>
    </w:rPr>
  </w:style>
  <w:style w:type="character" w:styleId="Caratteridinumerazione">
    <w:name w:val="Caratteri di numerazione"/>
    <w:next w:val="Caratteridinumerazione"/>
    <w:autoRedefine w:val="0"/>
    <w:hidden w:val="0"/>
    <w:qFormat w:val="0"/>
    <w:rPr>
      <w:w w:val="100"/>
      <w:position w:val="0"/>
      <w:sz w:val="24"/>
      <w:effect w:val="none"/>
      <w:vertAlign w:val="baseline"/>
      <w:cs w:val="0"/>
      <w:em w:val="none"/>
      <w:lang/>
    </w:rPr>
  </w:style>
  <w:style w:type="character" w:styleId="ListLabel1">
    <w:name w:val="ListLabel 1"/>
    <w:next w:val="ListLabel1"/>
    <w:autoRedefine w:val="0"/>
    <w:hidden w:val="0"/>
    <w:qFormat w:val="0"/>
    <w:rPr>
      <w:w w:val="100"/>
      <w:position w:val="0"/>
      <w:sz w:val="24"/>
      <w:effect w:val="none"/>
      <w:vertAlign w:val="baseline"/>
      <w:cs w:val="0"/>
      <w:em w:val="none"/>
      <w:lang/>
    </w:rPr>
  </w:style>
  <w:style w:type="character" w:styleId="ListLabel2">
    <w:name w:val="ListLabel 2"/>
    <w:next w:val="ListLabel2"/>
    <w:autoRedefine w:val="0"/>
    <w:hidden w:val="0"/>
    <w:qFormat w:val="0"/>
    <w:rPr>
      <w:w w:val="100"/>
      <w:position w:val="0"/>
      <w:sz w:val="24"/>
      <w:effect w:val="none"/>
      <w:vertAlign w:val="baseline"/>
      <w:cs w:val="0"/>
      <w:em w:val="none"/>
      <w:lang/>
    </w:rPr>
  </w:style>
  <w:style w:type="character" w:styleId="ListLabel3">
    <w:name w:val="ListLabel 3"/>
    <w:next w:val="ListLabel3"/>
    <w:autoRedefine w:val="0"/>
    <w:hidden w:val="0"/>
    <w:qFormat w:val="0"/>
    <w:rPr>
      <w:w w:val="100"/>
      <w:position w:val="0"/>
      <w:sz w:val="24"/>
      <w:effect w:val="none"/>
      <w:vertAlign w:val="baseline"/>
      <w:cs w:val="0"/>
      <w:em w:val="none"/>
      <w:lang/>
    </w:rPr>
  </w:style>
  <w:style w:type="character" w:styleId="ListLabel4">
    <w:name w:val="ListLabel 4"/>
    <w:next w:val="ListLabel4"/>
    <w:autoRedefine w:val="0"/>
    <w:hidden w:val="0"/>
    <w:qFormat w:val="0"/>
    <w:rPr>
      <w:w w:val="100"/>
      <w:position w:val="0"/>
      <w:sz w:val="24"/>
      <w:effect w:val="none"/>
      <w:vertAlign w:val="baseline"/>
      <w:cs w:val="0"/>
      <w:em w:val="none"/>
      <w:lang/>
    </w:rPr>
  </w:style>
  <w:style w:type="character" w:styleId="ListLabel5">
    <w:name w:val="ListLabel 5"/>
    <w:next w:val="ListLabel5"/>
    <w:autoRedefine w:val="0"/>
    <w:hidden w:val="0"/>
    <w:qFormat w:val="0"/>
    <w:rPr>
      <w:w w:val="100"/>
      <w:position w:val="0"/>
      <w:sz w:val="24"/>
      <w:effect w:val="none"/>
      <w:vertAlign w:val="baseline"/>
      <w:cs w:val="0"/>
      <w:em w:val="none"/>
      <w:lang/>
    </w:rPr>
  </w:style>
  <w:style w:type="character" w:styleId="ListLabel6">
    <w:name w:val="ListLabel 6"/>
    <w:next w:val="ListLabel6"/>
    <w:autoRedefine w:val="0"/>
    <w:hidden w:val="0"/>
    <w:qFormat w:val="0"/>
    <w:rPr>
      <w:w w:val="100"/>
      <w:position w:val="0"/>
      <w:sz w:val="24"/>
      <w:effect w:val="none"/>
      <w:vertAlign w:val="baseline"/>
      <w:cs w:val="0"/>
      <w:em w:val="none"/>
      <w:lang/>
    </w:rPr>
  </w:style>
  <w:style w:type="character" w:styleId="ListLabel7">
    <w:name w:val="ListLabel 7"/>
    <w:next w:val="ListLabel7"/>
    <w:autoRedefine w:val="0"/>
    <w:hidden w:val="0"/>
    <w:qFormat w:val="0"/>
    <w:rPr>
      <w:w w:val="100"/>
      <w:position w:val="0"/>
      <w:sz w:val="24"/>
      <w:effect w:val="none"/>
      <w:vertAlign w:val="baseline"/>
      <w:cs w:val="0"/>
      <w:em w:val="none"/>
      <w:lang/>
    </w:rPr>
  </w:style>
  <w:style w:type="character" w:styleId="ListLabel8">
    <w:name w:val="ListLabel 8"/>
    <w:next w:val="ListLabel8"/>
    <w:autoRedefine w:val="0"/>
    <w:hidden w:val="0"/>
    <w:qFormat w:val="0"/>
    <w:rPr>
      <w:w w:val="100"/>
      <w:position w:val="0"/>
      <w:sz w:val="24"/>
      <w:effect w:val="none"/>
      <w:vertAlign w:val="baseline"/>
      <w:cs w:val="0"/>
      <w:em w:val="none"/>
      <w:lang/>
    </w:rPr>
  </w:style>
  <w:style w:type="character" w:styleId="ListLabel9">
    <w:name w:val="ListLabel 9"/>
    <w:next w:val="ListLabel9"/>
    <w:autoRedefine w:val="0"/>
    <w:hidden w:val="0"/>
    <w:qFormat w:val="0"/>
    <w:rPr>
      <w:w w:val="100"/>
      <w:position w:val="0"/>
      <w:sz w:val="24"/>
      <w:effect w:val="none"/>
      <w:vertAlign w:val="baseline"/>
      <w:cs w:val="0"/>
      <w:em w:val="none"/>
      <w:lang/>
    </w:rPr>
  </w:style>
  <w:style w:type="character" w:styleId="ListLabel10">
    <w:name w:val="ListLabel 10"/>
    <w:next w:val="ListLabel10"/>
    <w:autoRedefine w:val="0"/>
    <w:hidden w:val="0"/>
    <w:qFormat w:val="0"/>
    <w:rPr>
      <w:w w:val="100"/>
      <w:position w:val="0"/>
      <w:sz w:val="24"/>
      <w:effect w:val="none"/>
      <w:vertAlign w:val="baseline"/>
      <w:cs w:val="0"/>
      <w:em w:val="none"/>
      <w:lang/>
    </w:rPr>
  </w:style>
  <w:style w:type="character" w:styleId="ListLabel11">
    <w:name w:val="ListLabel 11"/>
    <w:next w:val="ListLabel11"/>
    <w:autoRedefine w:val="0"/>
    <w:hidden w:val="0"/>
    <w:qFormat w:val="0"/>
    <w:rPr>
      <w:w w:val="100"/>
      <w:position w:val="0"/>
      <w:sz w:val="24"/>
      <w:effect w:val="none"/>
      <w:vertAlign w:val="baseline"/>
      <w:cs w:val="0"/>
      <w:em w:val="none"/>
      <w:lang/>
    </w:rPr>
  </w:style>
  <w:style w:type="character" w:styleId="ListLabel12">
    <w:name w:val="ListLabel 12"/>
    <w:next w:val="ListLabel12"/>
    <w:autoRedefine w:val="0"/>
    <w:hidden w:val="0"/>
    <w:qFormat w:val="0"/>
    <w:rPr>
      <w:w w:val="100"/>
      <w:position w:val="0"/>
      <w:sz w:val="24"/>
      <w:effect w:val="none"/>
      <w:vertAlign w:val="baseline"/>
      <w:cs w:val="0"/>
      <w:em w:val="none"/>
      <w:lang/>
    </w:rPr>
  </w:style>
  <w:style w:type="character" w:styleId="ListLabel13">
    <w:name w:val="ListLabel 13"/>
    <w:next w:val="ListLabel13"/>
    <w:autoRedefine w:val="0"/>
    <w:hidden w:val="0"/>
    <w:qFormat w:val="0"/>
    <w:rPr>
      <w:w w:val="100"/>
      <w:position w:val="0"/>
      <w:sz w:val="24"/>
      <w:effect w:val="none"/>
      <w:vertAlign w:val="baseline"/>
      <w:cs w:val="0"/>
      <w:em w:val="none"/>
      <w:lang/>
    </w:rPr>
  </w:style>
  <w:style w:type="character" w:styleId="ListLabel14">
    <w:name w:val="ListLabel 14"/>
    <w:next w:val="ListLabel14"/>
    <w:autoRedefine w:val="0"/>
    <w:hidden w:val="0"/>
    <w:qFormat w:val="0"/>
    <w:rPr>
      <w:w w:val="100"/>
      <w:position w:val="0"/>
      <w:sz w:val="24"/>
      <w:effect w:val="none"/>
      <w:vertAlign w:val="baseline"/>
      <w:cs w:val="0"/>
      <w:em w:val="none"/>
      <w:lang/>
    </w:rPr>
  </w:style>
  <w:style w:type="character" w:styleId="ListLabel15">
    <w:name w:val="ListLabel 15"/>
    <w:next w:val="ListLabel15"/>
    <w:autoRedefine w:val="0"/>
    <w:hidden w:val="0"/>
    <w:qFormat w:val="0"/>
    <w:rPr>
      <w:w w:val="100"/>
      <w:position w:val="0"/>
      <w:sz w:val="24"/>
      <w:effect w:val="none"/>
      <w:vertAlign w:val="baseline"/>
      <w:cs w:val="0"/>
      <w:em w:val="none"/>
      <w:lang/>
    </w:rPr>
  </w:style>
  <w:style w:type="character" w:styleId="ListLabel16">
    <w:name w:val="ListLabel 16"/>
    <w:next w:val="ListLabel16"/>
    <w:autoRedefine w:val="0"/>
    <w:hidden w:val="0"/>
    <w:qFormat w:val="0"/>
    <w:rPr>
      <w:w w:val="100"/>
      <w:position w:val="0"/>
      <w:sz w:val="24"/>
      <w:effect w:val="none"/>
      <w:vertAlign w:val="baseline"/>
      <w:cs w:val="0"/>
      <w:em w:val="none"/>
      <w:lang/>
    </w:rPr>
  </w:style>
  <w:style w:type="character" w:styleId="ListLabel17">
    <w:name w:val="ListLabel 17"/>
    <w:next w:val="ListLabel17"/>
    <w:autoRedefine w:val="0"/>
    <w:hidden w:val="0"/>
    <w:qFormat w:val="0"/>
    <w:rPr>
      <w:w w:val="100"/>
      <w:position w:val="0"/>
      <w:sz w:val="24"/>
      <w:effect w:val="none"/>
      <w:vertAlign w:val="baseline"/>
      <w:cs w:val="0"/>
      <w:em w:val="none"/>
      <w:lang/>
    </w:rPr>
  </w:style>
  <w:style w:type="character" w:styleId="ListLabel18">
    <w:name w:val="ListLabel 18"/>
    <w:next w:val="ListLabel18"/>
    <w:autoRedefine w:val="0"/>
    <w:hidden w:val="0"/>
    <w:qFormat w:val="0"/>
    <w:rPr>
      <w:w w:val="100"/>
      <w:position w:val="0"/>
      <w:sz w:val="24"/>
      <w:effect w:val="none"/>
      <w:vertAlign w:val="baseline"/>
      <w:cs w:val="0"/>
      <w:em w:val="none"/>
      <w:lang/>
    </w:rPr>
  </w:style>
  <w:style w:type="character" w:styleId="ListLabel19">
    <w:name w:val="ListLabel 19"/>
    <w:next w:val="ListLabel19"/>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20">
    <w:name w:val="ListLabel 20"/>
    <w:next w:val="ListLabel20"/>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21">
    <w:name w:val="ListLabel 21"/>
    <w:next w:val="ListLabel21"/>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22">
    <w:name w:val="ListLabel 22"/>
    <w:next w:val="ListLabel22"/>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23">
    <w:name w:val="ListLabel 23"/>
    <w:next w:val="ListLabel23"/>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24">
    <w:name w:val="ListLabel 24"/>
    <w:next w:val="ListLabel24"/>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25">
    <w:name w:val="ListLabel 25"/>
    <w:next w:val="ListLabel25"/>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26">
    <w:name w:val="ListLabel 26"/>
    <w:next w:val="ListLabel26"/>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27">
    <w:name w:val="ListLabel 27"/>
    <w:next w:val="ListLabel27"/>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28">
    <w:name w:val="ListLabel 28"/>
    <w:next w:val="ListLabel28"/>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29">
    <w:name w:val="ListLabel 29"/>
    <w:next w:val="ListLabel29"/>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30">
    <w:name w:val="ListLabel 30"/>
    <w:next w:val="ListLabel30"/>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31">
    <w:name w:val="ListLabel 31"/>
    <w:next w:val="ListLabel31"/>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32">
    <w:name w:val="ListLabel 32"/>
    <w:next w:val="ListLabel32"/>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33">
    <w:name w:val="ListLabel 33"/>
    <w:next w:val="ListLabel33"/>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34">
    <w:name w:val="ListLabel 34"/>
    <w:next w:val="ListLabel34"/>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35">
    <w:name w:val="ListLabel 35"/>
    <w:next w:val="ListLabel35"/>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36">
    <w:name w:val="ListLabel 36"/>
    <w:next w:val="ListLabel36"/>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37">
    <w:name w:val="ListLabel 37"/>
    <w:next w:val="ListLabel37"/>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38">
    <w:name w:val="ListLabel 38"/>
    <w:next w:val="ListLabel38"/>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39">
    <w:name w:val="ListLabel 39"/>
    <w:next w:val="ListLabel39"/>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40">
    <w:name w:val="ListLabel 40"/>
    <w:next w:val="ListLabel40"/>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41">
    <w:name w:val="ListLabel 41"/>
    <w:next w:val="ListLabel41"/>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42">
    <w:name w:val="ListLabel 42"/>
    <w:next w:val="ListLabel42"/>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43">
    <w:name w:val="ListLabel 43"/>
    <w:next w:val="ListLabel43"/>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44">
    <w:name w:val="ListLabel 44"/>
    <w:next w:val="ListLabel44"/>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45">
    <w:name w:val="ListLabel 45"/>
    <w:next w:val="ListLabel45"/>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46">
    <w:name w:val="ListLabel 46"/>
    <w:next w:val="ListLabel46"/>
    <w:autoRedefine w:val="0"/>
    <w:hidden w:val="0"/>
    <w:qFormat w:val="0"/>
    <w:rPr>
      <w:w w:val="100"/>
      <w:position w:val="0"/>
      <w:sz w:val="24"/>
      <w:effect w:val="none"/>
      <w:vertAlign w:val="baseline"/>
      <w:cs w:val="0"/>
      <w:em w:val="none"/>
      <w:lang/>
    </w:rPr>
  </w:style>
  <w:style w:type="character" w:styleId="ListLabel47">
    <w:name w:val="ListLabel 47"/>
    <w:next w:val="ListLabel47"/>
    <w:autoRedefine w:val="0"/>
    <w:hidden w:val="0"/>
    <w:qFormat w:val="0"/>
    <w:rPr>
      <w:w w:val="100"/>
      <w:position w:val="0"/>
      <w:sz w:val="24"/>
      <w:effect w:val="none"/>
      <w:vertAlign w:val="baseline"/>
      <w:cs w:val="0"/>
      <w:em w:val="none"/>
      <w:lang/>
    </w:rPr>
  </w:style>
  <w:style w:type="character" w:styleId="ListLabel48">
    <w:name w:val="ListLabel 48"/>
    <w:next w:val="ListLabel48"/>
    <w:autoRedefine w:val="0"/>
    <w:hidden w:val="0"/>
    <w:qFormat w:val="0"/>
    <w:rPr>
      <w:w w:val="100"/>
      <w:position w:val="0"/>
      <w:sz w:val="24"/>
      <w:effect w:val="none"/>
      <w:vertAlign w:val="baseline"/>
      <w:cs w:val="0"/>
      <w:em w:val="none"/>
      <w:lang/>
    </w:rPr>
  </w:style>
  <w:style w:type="character" w:styleId="ListLabel49">
    <w:name w:val="ListLabel 49"/>
    <w:next w:val="ListLabel49"/>
    <w:autoRedefine w:val="0"/>
    <w:hidden w:val="0"/>
    <w:qFormat w:val="0"/>
    <w:rPr>
      <w:w w:val="100"/>
      <w:position w:val="0"/>
      <w:sz w:val="24"/>
      <w:effect w:val="none"/>
      <w:vertAlign w:val="baseline"/>
      <w:cs w:val="0"/>
      <w:em w:val="none"/>
      <w:lang/>
    </w:rPr>
  </w:style>
  <w:style w:type="character" w:styleId="ListLabel50">
    <w:name w:val="ListLabel 50"/>
    <w:next w:val="ListLabel50"/>
    <w:autoRedefine w:val="0"/>
    <w:hidden w:val="0"/>
    <w:qFormat w:val="0"/>
    <w:rPr>
      <w:w w:val="100"/>
      <w:position w:val="0"/>
      <w:sz w:val="24"/>
      <w:effect w:val="none"/>
      <w:vertAlign w:val="baseline"/>
      <w:cs w:val="0"/>
      <w:em w:val="none"/>
      <w:lang/>
    </w:rPr>
  </w:style>
  <w:style w:type="character" w:styleId="ListLabel51">
    <w:name w:val="ListLabel 51"/>
    <w:next w:val="ListLabel51"/>
    <w:autoRedefine w:val="0"/>
    <w:hidden w:val="0"/>
    <w:qFormat w:val="0"/>
    <w:rPr>
      <w:w w:val="100"/>
      <w:position w:val="0"/>
      <w:sz w:val="24"/>
      <w:effect w:val="none"/>
      <w:vertAlign w:val="baseline"/>
      <w:cs w:val="0"/>
      <w:em w:val="none"/>
      <w:lang/>
    </w:rPr>
  </w:style>
  <w:style w:type="character" w:styleId="ListLabel52">
    <w:name w:val="ListLabel 52"/>
    <w:next w:val="ListLabel52"/>
    <w:autoRedefine w:val="0"/>
    <w:hidden w:val="0"/>
    <w:qFormat w:val="0"/>
    <w:rPr>
      <w:w w:val="100"/>
      <w:position w:val="0"/>
      <w:sz w:val="24"/>
      <w:effect w:val="none"/>
      <w:vertAlign w:val="baseline"/>
      <w:cs w:val="0"/>
      <w:em w:val="none"/>
      <w:lang/>
    </w:rPr>
  </w:style>
  <w:style w:type="character" w:styleId="ListLabel53">
    <w:name w:val="ListLabel 53"/>
    <w:next w:val="ListLabel53"/>
    <w:autoRedefine w:val="0"/>
    <w:hidden w:val="0"/>
    <w:qFormat w:val="0"/>
    <w:rPr>
      <w:w w:val="100"/>
      <w:position w:val="0"/>
      <w:sz w:val="24"/>
      <w:effect w:val="none"/>
      <w:vertAlign w:val="baseline"/>
      <w:cs w:val="0"/>
      <w:em w:val="none"/>
      <w:lang/>
    </w:rPr>
  </w:style>
  <w:style w:type="character" w:styleId="ListLabel54">
    <w:name w:val="ListLabel 54"/>
    <w:next w:val="ListLabel54"/>
    <w:autoRedefine w:val="0"/>
    <w:hidden w:val="0"/>
    <w:qFormat w:val="0"/>
    <w:rPr>
      <w:w w:val="100"/>
      <w:position w:val="0"/>
      <w:sz w:val="24"/>
      <w:effect w:val="none"/>
      <w:vertAlign w:val="baseline"/>
      <w:cs w:val="0"/>
      <w:em w:val="none"/>
      <w:lang/>
    </w:rPr>
  </w:style>
  <w:style w:type="character" w:styleId="ListLabel55">
    <w:name w:val="ListLabel 55"/>
    <w:next w:val="ListLabel55"/>
    <w:autoRedefine w:val="0"/>
    <w:hidden w:val="0"/>
    <w:qFormat w:val="0"/>
    <w:rPr>
      <w:w w:val="100"/>
      <w:position w:val="0"/>
      <w:sz w:val="24"/>
      <w:effect w:val="none"/>
      <w:vertAlign w:val="baseline"/>
      <w:cs w:val="0"/>
      <w:em w:val="none"/>
      <w:lang/>
    </w:rPr>
  </w:style>
  <w:style w:type="character" w:styleId="ListLabel56">
    <w:name w:val="ListLabel 56"/>
    <w:next w:val="ListLabel56"/>
    <w:autoRedefine w:val="0"/>
    <w:hidden w:val="0"/>
    <w:qFormat w:val="0"/>
    <w:rPr>
      <w:w w:val="100"/>
      <w:position w:val="0"/>
      <w:sz w:val="24"/>
      <w:effect w:val="none"/>
      <w:vertAlign w:val="baseline"/>
      <w:cs w:val="0"/>
      <w:em w:val="none"/>
      <w:lang/>
    </w:rPr>
  </w:style>
  <w:style w:type="character" w:styleId="ListLabel57">
    <w:name w:val="ListLabel 57"/>
    <w:next w:val="ListLabel57"/>
    <w:autoRedefine w:val="0"/>
    <w:hidden w:val="0"/>
    <w:qFormat w:val="0"/>
    <w:rPr>
      <w:w w:val="100"/>
      <w:position w:val="0"/>
      <w:sz w:val="24"/>
      <w:effect w:val="none"/>
      <w:vertAlign w:val="baseline"/>
      <w:cs w:val="0"/>
      <w:em w:val="none"/>
      <w:lang/>
    </w:rPr>
  </w:style>
  <w:style w:type="character" w:styleId="ListLabel58">
    <w:name w:val="ListLabel 58"/>
    <w:next w:val="ListLabel58"/>
    <w:autoRedefine w:val="0"/>
    <w:hidden w:val="0"/>
    <w:qFormat w:val="0"/>
    <w:rPr>
      <w:w w:val="100"/>
      <w:position w:val="0"/>
      <w:sz w:val="24"/>
      <w:effect w:val="none"/>
      <w:vertAlign w:val="baseline"/>
      <w:cs w:val="0"/>
      <w:em w:val="none"/>
      <w:lang/>
    </w:rPr>
  </w:style>
  <w:style w:type="character" w:styleId="ListLabel59">
    <w:name w:val="ListLabel 59"/>
    <w:next w:val="ListLabel59"/>
    <w:autoRedefine w:val="0"/>
    <w:hidden w:val="0"/>
    <w:qFormat w:val="0"/>
    <w:rPr>
      <w:w w:val="100"/>
      <w:position w:val="0"/>
      <w:sz w:val="24"/>
      <w:effect w:val="none"/>
      <w:vertAlign w:val="baseline"/>
      <w:cs w:val="0"/>
      <w:em w:val="none"/>
      <w:lang/>
    </w:rPr>
  </w:style>
  <w:style w:type="character" w:styleId="ListLabel60">
    <w:name w:val="ListLabel 60"/>
    <w:next w:val="ListLabel60"/>
    <w:autoRedefine w:val="0"/>
    <w:hidden w:val="0"/>
    <w:qFormat w:val="0"/>
    <w:rPr>
      <w:w w:val="100"/>
      <w:position w:val="0"/>
      <w:sz w:val="24"/>
      <w:effect w:val="none"/>
      <w:vertAlign w:val="baseline"/>
      <w:cs w:val="0"/>
      <w:em w:val="none"/>
      <w:lang/>
    </w:rPr>
  </w:style>
  <w:style w:type="character" w:styleId="ListLabel61">
    <w:name w:val="ListLabel 61"/>
    <w:next w:val="ListLabel61"/>
    <w:autoRedefine w:val="0"/>
    <w:hidden w:val="0"/>
    <w:qFormat w:val="0"/>
    <w:rPr>
      <w:w w:val="100"/>
      <w:position w:val="0"/>
      <w:sz w:val="24"/>
      <w:effect w:val="none"/>
      <w:vertAlign w:val="baseline"/>
      <w:cs w:val="0"/>
      <w:em w:val="none"/>
      <w:lang/>
    </w:rPr>
  </w:style>
  <w:style w:type="character" w:styleId="ListLabel62">
    <w:name w:val="ListLabel 62"/>
    <w:next w:val="ListLabel62"/>
    <w:autoRedefine w:val="0"/>
    <w:hidden w:val="0"/>
    <w:qFormat w:val="0"/>
    <w:rPr>
      <w:w w:val="100"/>
      <w:position w:val="0"/>
      <w:sz w:val="24"/>
      <w:effect w:val="none"/>
      <w:vertAlign w:val="baseline"/>
      <w:cs w:val="0"/>
      <w:em w:val="none"/>
      <w:lang/>
    </w:rPr>
  </w:style>
  <w:style w:type="character" w:styleId="ListLabel63">
    <w:name w:val="ListLabel 63"/>
    <w:next w:val="ListLabel63"/>
    <w:autoRedefine w:val="0"/>
    <w:hidden w:val="0"/>
    <w:qFormat w:val="0"/>
    <w:rPr>
      <w:w w:val="100"/>
      <w:position w:val="0"/>
      <w:sz w:val="24"/>
      <w:effect w:val="none"/>
      <w:vertAlign w:val="baseline"/>
      <w:cs w:val="0"/>
      <w:em w:val="none"/>
      <w:lang/>
    </w:rPr>
  </w:style>
  <w:style w:type="character" w:styleId="ListLabel64">
    <w:name w:val="ListLabel 64"/>
    <w:next w:val="ListLabel64"/>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65">
    <w:name w:val="ListLabel 65"/>
    <w:next w:val="ListLabel65"/>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66">
    <w:name w:val="ListLabel 66"/>
    <w:next w:val="ListLabel66"/>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67">
    <w:name w:val="ListLabel 67"/>
    <w:next w:val="ListLabel67"/>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68">
    <w:name w:val="ListLabel 68"/>
    <w:next w:val="ListLabel68"/>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69">
    <w:name w:val="ListLabel 69"/>
    <w:next w:val="ListLabel69"/>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70">
    <w:name w:val="ListLabel 70"/>
    <w:next w:val="ListLabel70"/>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71">
    <w:name w:val="ListLabel 71"/>
    <w:next w:val="ListLabel71"/>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72">
    <w:name w:val="ListLabel 72"/>
    <w:next w:val="ListLabel72"/>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73">
    <w:name w:val="ListLabel 73"/>
    <w:next w:val="ListLabel73"/>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74">
    <w:name w:val="ListLabel 74"/>
    <w:next w:val="ListLabel74"/>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75">
    <w:name w:val="ListLabel 75"/>
    <w:next w:val="ListLabel75"/>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76">
    <w:name w:val="ListLabel 76"/>
    <w:next w:val="ListLabel76"/>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77">
    <w:name w:val="ListLabel 77"/>
    <w:next w:val="ListLabel77"/>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78">
    <w:name w:val="ListLabel 78"/>
    <w:next w:val="ListLabel78"/>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79">
    <w:name w:val="ListLabel 79"/>
    <w:next w:val="ListLabel79"/>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80">
    <w:name w:val="ListLabel 80"/>
    <w:next w:val="ListLabel80"/>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81">
    <w:name w:val="ListLabel 81"/>
    <w:next w:val="ListLabel81"/>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82">
    <w:name w:val="ListLabel 82"/>
    <w:next w:val="ListLabel82"/>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83">
    <w:name w:val="ListLabel 83"/>
    <w:next w:val="ListLabel83"/>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84">
    <w:name w:val="ListLabel 84"/>
    <w:next w:val="ListLabel84"/>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85">
    <w:name w:val="ListLabel 85"/>
    <w:next w:val="ListLabel85"/>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86">
    <w:name w:val="ListLabel 86"/>
    <w:next w:val="ListLabel86"/>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87">
    <w:name w:val="ListLabel 87"/>
    <w:next w:val="ListLabel87"/>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88">
    <w:name w:val="ListLabel 88"/>
    <w:next w:val="ListLabel88"/>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89">
    <w:name w:val="ListLabel 89"/>
    <w:next w:val="ListLabel89"/>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character" w:styleId="ListLabel90">
    <w:name w:val="ListLabel 90"/>
    <w:next w:val="ListLabel90"/>
    <w:autoRedefine w:val="0"/>
    <w:hidden w:val="0"/>
    <w:qFormat w:val="0"/>
    <w:rPr>
      <w:caps w:val="0"/>
      <w:smallCaps w:val="0"/>
      <w:strike w:val="0"/>
      <w:dstrike w:val="0"/>
      <w:color w:val="000000"/>
      <w:w w:val="100"/>
      <w:position w:val="0"/>
      <w:sz w:val="24"/>
      <w:szCs w:val="24"/>
      <w:highlight w:val="white"/>
      <w:effect w:val="none"/>
      <w:vertAlign w:val="baseline"/>
      <w:cs w:val="0"/>
      <w:em w:val="none"/>
      <w:lang/>
    </w:rPr>
  </w:style>
  <w:style w:type="paragraph" w:styleId="Indice">
    <w:name w:val="Indice"/>
    <w:basedOn w:val="LO-normal"/>
    <w:next w:val="Indice"/>
    <w:autoRedefine w:val="0"/>
    <w:hidden w:val="0"/>
    <w:qFormat w:val="0"/>
    <w:pPr>
      <w:widowControl w:val="1"/>
      <w:suppressLineNumbers w:val="1"/>
      <w:suppressAutoHyphens w:val="1"/>
      <w:bidi w:val="0"/>
      <w:spacing w:after="0" w:before="0" w:line="1" w:lineRule="atLeast"/>
      <w:ind w:leftChars="-1" w:rightChars="0" w:firstLineChars="-1"/>
      <w:jc w:val="left"/>
      <w:textDirection w:val="btLr"/>
      <w:textAlignment w:val="top"/>
      <w:outlineLvl w:val="0"/>
    </w:pPr>
    <w:rPr>
      <w:rFonts w:ascii="Liberation Serif" w:cs="Arial" w:eastAsia="NSimSun" w:hAnsi="Liberation Serif"/>
      <w:color w:val="auto"/>
      <w:w w:val="100"/>
      <w:kern w:val="2"/>
      <w:position w:val="0"/>
      <w:sz w:val="24"/>
      <w:szCs w:val="24"/>
      <w:effect w:val="none"/>
      <w:vertAlign w:val="baseline"/>
      <w:cs w:val="0"/>
      <w:em w:val="none"/>
      <w:lang w:bidi="hi-IN" w:eastAsia="zh-CN" w:val="it-IT"/>
    </w:rPr>
  </w:style>
  <w:style w:type="paragraph" w:styleId="Caption1">
    <w:name w:val="Caption1"/>
    <w:basedOn w:val="LO-normal"/>
    <w:next w:val="Caption1"/>
    <w:autoRedefine w:val="0"/>
    <w:hidden w:val="0"/>
    <w:qFormat w:val="0"/>
    <w:pPr>
      <w:widowControl w:val="1"/>
      <w:suppressLineNumbers w:val="1"/>
      <w:suppressAutoHyphens w:val="1"/>
      <w:bidi w:val="0"/>
      <w:spacing w:after="120" w:before="120" w:line="1" w:lineRule="atLeast"/>
      <w:ind w:leftChars="-1" w:rightChars="0" w:firstLineChars="-1"/>
      <w:jc w:val="left"/>
      <w:textDirection w:val="btLr"/>
      <w:textAlignment w:val="top"/>
      <w:outlineLvl w:val="0"/>
    </w:pPr>
    <w:rPr>
      <w:rFonts w:ascii="Liberation Serif" w:cs="Arial" w:eastAsia="NSimSun" w:hAnsi="Liberation Serif"/>
      <w:i w:val="1"/>
      <w:iCs w:val="1"/>
      <w:color w:val="auto"/>
      <w:w w:val="100"/>
      <w:kern w:val="2"/>
      <w:position w:val="0"/>
      <w:sz w:val="24"/>
      <w:szCs w:val="24"/>
      <w:effect w:val="none"/>
      <w:vertAlign w:val="baseline"/>
      <w:cs w:val="0"/>
      <w:em w:val="none"/>
      <w:lang w:bidi="hi-IN" w:eastAsia="zh-CN" w:val="it-IT"/>
    </w:rPr>
  </w:style>
  <w:style w:type="paragraph" w:styleId="Intestazioneepièdipagina">
    <w:name w:val="Intestazione e piè di pagina"/>
    <w:basedOn w:val="Normal"/>
    <w:next w:val="Intestazioneepièdipagina"/>
    <w:autoRedefine w:val="0"/>
    <w:hidden w:val="0"/>
    <w:qFormat w:val="0"/>
    <w:pPr>
      <w:widowControl w:val="1"/>
      <w:suppressLineNumbers w:val="1"/>
      <w:tabs>
        <w:tab w:val="center" w:leader="none" w:pos="4819"/>
        <w:tab w:val="right" w:leader="none" w:pos="9638"/>
      </w:tabs>
      <w:suppressAutoHyphens w:val="0"/>
      <w:bidi w:val="0"/>
      <w:spacing w:after="0" w:before="0" w:line="1" w:lineRule="atLeast"/>
      <w:ind w:leftChars="-1" w:rightChars="0" w:firstLineChars="-1"/>
      <w:jc w:val="left"/>
      <w:textDirection w:val="btLr"/>
      <w:textAlignment w:val="top"/>
      <w:outlineLvl w:val="0"/>
    </w:pPr>
    <w:rPr>
      <w:rFonts w:ascii="Liberation Serif" w:cs="Liberation Serif" w:eastAsia="Liberation Serif" w:hAnsi="Liberation Serif"/>
      <w:color w:val="auto"/>
      <w:w w:val="100"/>
      <w:kern w:val="0"/>
      <w:position w:val="-1"/>
      <w:sz w:val="24"/>
      <w:szCs w:val="24"/>
      <w:effect w:val="none"/>
      <w:vertAlign w:val="baseline"/>
      <w:cs w:val="0"/>
      <w:em w:val="none"/>
      <w:lang w:bidi="hi-IN" w:eastAsia="zh-CN" w:val="und"/>
    </w:rPr>
  </w:style>
  <w:style w:type="paragraph" w:styleId="Title1">
    <w:name w:val="Title1"/>
    <w:basedOn w:val="LO-normal"/>
    <w:next w:val="LO-normal"/>
    <w:autoRedefine w:val="0"/>
    <w:hidden w:val="0"/>
    <w:qFormat w:val="0"/>
    <w:pPr>
      <w:keepNext w:val="1"/>
      <w:keepLines w:val="1"/>
      <w:pageBreakBefore w:val="0"/>
      <w:widowControl w:val="1"/>
      <w:suppressAutoHyphens w:val="0"/>
      <w:bidi w:val="0"/>
      <w:spacing w:after="120" w:before="480" w:line="240" w:lineRule="auto"/>
      <w:ind w:leftChars="-1" w:rightChars="0" w:firstLineChars="-1"/>
      <w:jc w:val="left"/>
      <w:textDirection w:val="btLr"/>
      <w:textAlignment w:val="top"/>
      <w:outlineLvl w:val="0"/>
    </w:pPr>
    <w:rPr>
      <w:rFonts w:ascii="Liberation Serif" w:cs="Liberation Serif" w:eastAsia="Liberation Serif" w:hAnsi="Liberation Serif"/>
      <w:b w:val="1"/>
      <w:bCs w:val="1"/>
      <w:color w:val="auto"/>
      <w:w w:val="100"/>
      <w:kern w:val="0"/>
      <w:position w:val="-1"/>
      <w:sz w:val="72"/>
      <w:szCs w:val="72"/>
      <w:effect w:val="none"/>
      <w:vertAlign w:val="baseline"/>
      <w:cs w:val="0"/>
      <w:em w:val="none"/>
      <w:lang w:bidi="hi-IN" w:eastAsia="zh-CN" w:val="und"/>
    </w:rPr>
  </w:style>
  <w:style w:type="paragraph" w:styleId="Normal(Web)1">
    <w:name w:val="Normal (Web)1"/>
    <w:next w:val="Normal(Web)1"/>
    <w:autoRedefine w:val="0"/>
    <w:hidden w:val="0"/>
    <w:qFormat w:val="0"/>
    <w:pPr>
      <w:widowControl w:val="1"/>
      <w:suppressAutoHyphens w:val="1"/>
      <w:bidi w:val="0"/>
      <w:spacing w:after="100" w:before="100" w:line="1" w:lineRule="atLeast"/>
      <w:ind w:left="0" w:right="0" w:leftChars="-1" w:rightChars="0" w:firstLine="0" w:firstLineChars="-1"/>
      <w:jc w:val="left"/>
      <w:textDirection w:val="btLr"/>
      <w:textAlignment w:val="top"/>
      <w:outlineLvl w:val="0"/>
    </w:pPr>
    <w:rPr>
      <w:rFonts w:ascii="Times New Roman" w:cs="Times New Roman" w:eastAsia="SimSun" w:hAnsi="Times New Roman"/>
      <w:color w:val="auto"/>
      <w:w w:val="100"/>
      <w:kern w:val="0"/>
      <w:position w:val="0"/>
      <w:sz w:val="24"/>
      <w:szCs w:val="24"/>
      <w:effect w:val="none"/>
      <w:vertAlign w:val="baseline"/>
      <w:cs w:val="0"/>
      <w:em w:val="none"/>
      <w:lang w:bidi="und" w:eastAsia="zh-CN" w:val="en-US"/>
    </w:rPr>
  </w:style>
  <w:style w:type="paragraph" w:styleId="Lineaorizzontale">
    <w:name w:val="Linea orizzontale"/>
    <w:basedOn w:val="LO-normal"/>
    <w:next w:val="BodyText"/>
    <w:autoRedefine w:val="0"/>
    <w:hidden w:val="0"/>
    <w:qFormat w:val="0"/>
    <w:pPr>
      <w:widowControl w:val="1"/>
      <w:suppressLineNumbers w:val="1"/>
      <w:pBdr>
        <w:top w:color="000000" w:space="0" w:sz="0" w:val="none"/>
        <w:left w:color="000000" w:space="0" w:sz="0" w:val="none"/>
        <w:bottom w:color="808080" w:space="0" w:sz="6" w:val="double"/>
        <w:right w:color="000000" w:space="0" w:sz="0" w:val="none"/>
      </w:pBdr>
      <w:suppressAutoHyphens w:val="1"/>
      <w:bidi w:val="0"/>
      <w:spacing w:after="283" w:before="0" w:line="1" w:lineRule="atLeast"/>
      <w:ind w:leftChars="-1" w:rightChars="0" w:firstLineChars="-1"/>
      <w:jc w:val="left"/>
      <w:textDirection w:val="btLr"/>
      <w:textAlignment w:val="top"/>
      <w:outlineLvl w:val="0"/>
    </w:pPr>
    <w:rPr>
      <w:rFonts w:ascii="Liberation Serif" w:cs="Arial" w:eastAsia="NSimSun" w:hAnsi="Liberation Serif"/>
      <w:color w:val="auto"/>
      <w:w w:val="100"/>
      <w:kern w:val="2"/>
      <w:position w:val="0"/>
      <w:sz w:val="12"/>
      <w:szCs w:val="12"/>
      <w:effect w:val="none"/>
      <w:vertAlign w:val="baseline"/>
      <w:cs w:val="0"/>
      <w:em w:val="none"/>
      <w:lang w:bidi="hi-IN" w:eastAsia="zh-CN" w:val="it-IT"/>
    </w:rPr>
  </w:style>
  <w:style w:type="paragraph" w:styleId="z-窗体顶端">
    <w:name w:val="z-窗体顶端"/>
    <w:basedOn w:val="LO-normal"/>
    <w:next w:val="LO-normal"/>
    <w:autoRedefine w:val="0"/>
    <w:hidden w:val="0"/>
    <w:qFormat w:val="0"/>
    <w:pPr>
      <w:widowControl w:val="1"/>
      <w:pBdr>
        <w:top w:color="000000" w:space="0" w:sz="0" w:val="none"/>
        <w:left w:color="000000" w:space="0" w:sz="0" w:val="none"/>
        <w:bottom w:color="000000" w:space="1" w:sz="6" w:val="single"/>
        <w:right w:color="000000" w:space="0" w:sz="0" w:val="none"/>
      </w:pBdr>
      <w:suppressAutoHyphens w:val="1"/>
      <w:bidi w:val="0"/>
      <w:spacing w:after="0" w:before="0" w:line="1" w:lineRule="atLeast"/>
      <w:ind w:leftChars="-1" w:rightChars="0" w:firstLineChars="-1"/>
      <w:jc w:val="center"/>
      <w:textDirection w:val="btLr"/>
      <w:textAlignment w:val="top"/>
      <w:outlineLvl w:val="0"/>
    </w:pPr>
    <w:rPr>
      <w:rFonts w:ascii="Arial" w:cs="Arial" w:eastAsia="SimSun" w:hAnsi="Arial"/>
      <w:vanish w:val="1"/>
      <w:color w:val="auto"/>
      <w:w w:val="100"/>
      <w:kern w:val="2"/>
      <w:position w:val="0"/>
      <w:sz w:val="16"/>
      <w:szCs w:val="24"/>
      <w:effect w:val="none"/>
      <w:vertAlign w:val="baseline"/>
      <w:cs w:val="0"/>
      <w:em w:val="none"/>
      <w:lang w:bidi="hi-IN" w:eastAsia="zh-CN" w:val="it-IT"/>
    </w:rPr>
  </w:style>
  <w:style w:type="paragraph" w:styleId="z-窗体底端">
    <w:name w:val="z-窗体底端"/>
    <w:basedOn w:val="LO-normal"/>
    <w:next w:val="LO-normal"/>
    <w:autoRedefine w:val="0"/>
    <w:hidden w:val="0"/>
    <w:qFormat w:val="0"/>
    <w:pPr>
      <w:widowControl w:val="1"/>
      <w:pBdr>
        <w:top w:color="000000" w:space="1" w:sz="6" w:val="single"/>
        <w:left w:color="000000" w:space="0" w:sz="0" w:val="none"/>
        <w:bottom w:color="000000" w:space="0" w:sz="0" w:val="none"/>
        <w:right w:color="000000" w:space="0" w:sz="0" w:val="none"/>
      </w:pBdr>
      <w:suppressAutoHyphens w:val="1"/>
      <w:bidi w:val="0"/>
      <w:spacing w:after="0" w:before="0" w:line="1" w:lineRule="atLeast"/>
      <w:ind w:leftChars="-1" w:rightChars="0" w:firstLineChars="-1"/>
      <w:jc w:val="center"/>
      <w:textDirection w:val="btLr"/>
      <w:textAlignment w:val="top"/>
      <w:outlineLvl w:val="0"/>
    </w:pPr>
    <w:rPr>
      <w:rFonts w:ascii="Arial" w:cs="Arial" w:eastAsia="SimSun" w:hAnsi="Arial"/>
      <w:vanish w:val="1"/>
      <w:color w:val="auto"/>
      <w:w w:val="100"/>
      <w:kern w:val="2"/>
      <w:position w:val="0"/>
      <w:sz w:val="16"/>
      <w:szCs w:val="24"/>
      <w:effect w:val="none"/>
      <w:vertAlign w:val="baseline"/>
      <w:cs w:val="0"/>
      <w:em w:val="none"/>
      <w:lang w:bidi="hi-IN" w:eastAsia="zh-CN" w:val="it-IT"/>
    </w:rPr>
  </w:style>
  <w:style w:type="paragraph" w:styleId="Contenutocornice">
    <w:name w:val="Contenuto cornice"/>
    <w:basedOn w:val="Normal"/>
    <w:next w:val="Contenutocornice"/>
    <w:autoRedefine w:val="0"/>
    <w:hidden w:val="0"/>
    <w:qFormat w:val="0"/>
    <w:pPr>
      <w:widowControl w:val="1"/>
      <w:suppressAutoHyphens w:val="0"/>
      <w:bidi w:val="0"/>
      <w:spacing w:after="0" w:before="0" w:line="1" w:lineRule="atLeast"/>
      <w:ind w:leftChars="-1" w:rightChars="0" w:firstLineChars="-1"/>
      <w:jc w:val="left"/>
      <w:textDirection w:val="btLr"/>
      <w:textAlignment w:val="top"/>
      <w:outlineLvl w:val="0"/>
    </w:pPr>
    <w:rPr>
      <w:rFonts w:ascii="Liberation Serif" w:cs="Liberation Serif" w:eastAsia="Liberation Serif" w:hAnsi="Liberation Serif"/>
      <w:color w:val="auto"/>
      <w:w w:val="100"/>
      <w:kern w:val="0"/>
      <w:position w:val="-1"/>
      <w:sz w:val="24"/>
      <w:szCs w:val="24"/>
      <w:effect w:val="none"/>
      <w:vertAlign w:val="baseline"/>
      <w:cs w:val="0"/>
      <w:em w:val="none"/>
      <w:lang w:bidi="hi-IN" w:eastAsia="zh-CN" w:val="und"/>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yperlink" Target="https://www.giftedness.life/index.php/2024/06/23/manuale-operativo-regione-veneto/"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s://old.istruzioneveneto.gov.it/wpusr/archives/tag/gifted"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sJ2ygyZWVZW/ngmYRxSmjBsUpA==">CgMxLjAyD2lkLjVpdXRlanJqY2lmODIPaWQub2oybnBraTVpNTJsMg9pZC5yc3V2djlmOWxvZDQyD2lkLjZsbWY1ZDI5N3AxYjIPaWQudm8wbGlhY2Q5Nm5lMg9pZC5jaG15ODFqYXBjeWkyD2lkLmp1N20xN3JlandtdzgAciExYk41NDZhbkozOXM5Y3M4SjdhMEx5ZEZ2Q3ZJcUQtdFU=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2026-02-08T09:42:11Z</dcterms:created>
  <dc:creator>Anna Colonna</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CAEC29D4C1D84FCFBB0C05B0FDF06012_12</vt:lpwstr>
  </property>
  <property fmtid="{D5CDD505-2E9C-101B-9397-08002B2CF9AE}" pid="3" name="KSOProductBuildVer">
    <vt:lpwstr>1033-12.2.0.22549</vt:lpwstr>
  </property>
</Properties>
</file>